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F17" w:rsidRPr="007F1F17" w:rsidRDefault="007F1F17" w:rsidP="007F1F17">
      <w:pPr>
        <w:jc w:val="center"/>
        <w:rPr>
          <w:rFonts w:asciiTheme="minorHAnsi" w:eastAsiaTheme="minorEastAsia" w:hAnsiTheme="minorHAnsi" w:cstheme="minorBidi"/>
          <w:b/>
          <w:w w:val="100"/>
          <w:kern w:val="2"/>
          <w:sz w:val="28"/>
          <w:szCs w:val="28"/>
        </w:rPr>
      </w:pPr>
      <w:r w:rsidRPr="007F1F17">
        <w:rPr>
          <w:rFonts w:asciiTheme="minorHAnsi" w:eastAsiaTheme="minorEastAsia" w:hAnsiTheme="minorHAnsi" w:cstheme="minorBidi" w:hint="eastAsia"/>
          <w:b/>
          <w:w w:val="100"/>
          <w:kern w:val="2"/>
          <w:sz w:val="28"/>
          <w:szCs w:val="28"/>
        </w:rPr>
        <w:t>本栏</w:t>
      </w:r>
      <w:r w:rsidRPr="007F1F17">
        <w:rPr>
          <w:rFonts w:asciiTheme="minorHAnsi" w:eastAsiaTheme="minorEastAsia" w:hAnsiTheme="minorHAnsi" w:cstheme="minorBidi"/>
          <w:b/>
          <w:w w:val="100"/>
          <w:kern w:val="2"/>
          <w:sz w:val="28"/>
          <w:szCs w:val="28"/>
        </w:rPr>
        <w:t>概述和目录</w:t>
      </w:r>
    </w:p>
    <w:p w:rsidR="007F1F17" w:rsidRPr="007F1F17" w:rsidRDefault="007F1F17" w:rsidP="007F1F17">
      <w:pPr>
        <w:spacing w:before="87" w:line="360" w:lineRule="auto"/>
        <w:ind w:firstLine="396"/>
        <w:rPr>
          <w:rFonts w:asciiTheme="minorHAnsi" w:eastAsiaTheme="minorEastAsia" w:hAnsiTheme="minorHAnsi" w:cstheme="minorBidi"/>
          <w:w w:val="100"/>
          <w:kern w:val="2"/>
          <w:szCs w:val="24"/>
        </w:rPr>
      </w:pPr>
      <w:r w:rsidRPr="007F1F17">
        <w:rPr>
          <w:rFonts w:asciiTheme="minorHAnsi" w:eastAsiaTheme="minorEastAsia" w:hAnsiTheme="minorHAnsi" w:cstheme="minorBidi"/>
          <w:w w:val="100"/>
          <w:kern w:val="2"/>
          <w:szCs w:val="24"/>
        </w:rPr>
        <w:t>学院坚持依法治院和以德治教相结合，法德并举，全面推进学院的制度建设，使广大教职员工的法律意识有了较大的提升，保证了学院各项工作科学规范地开展，有力地促进了学院精神文明建设的进程。</w:t>
      </w:r>
    </w:p>
    <w:p w:rsidR="007F1F17" w:rsidRPr="004B25E8" w:rsidRDefault="007F1F17" w:rsidP="007F1F17">
      <w:pPr>
        <w:spacing w:before="16" w:line="360" w:lineRule="auto"/>
        <w:ind w:firstLine="396"/>
        <w:rPr>
          <w:rFonts w:asciiTheme="minorEastAsia" w:eastAsiaTheme="minorEastAsia" w:hAnsiTheme="minorEastAsia" w:cstheme="minorBidi"/>
          <w:w w:val="100"/>
          <w:kern w:val="2"/>
          <w:szCs w:val="24"/>
        </w:rPr>
      </w:pPr>
      <w:r w:rsidRPr="007F1F17">
        <w:rPr>
          <w:rFonts w:asciiTheme="minorHAnsi" w:eastAsiaTheme="minorEastAsia" w:hAnsiTheme="minorHAnsi" w:cstheme="minorBidi"/>
          <w:w w:val="100"/>
          <w:kern w:val="2"/>
          <w:szCs w:val="24"/>
        </w:rPr>
        <w:t>学院充分发挥发挥师、干训的主渠道作用，在新教师培训、各类班主任培训、政教主任等各类培训班中设置相关的法律法规课程，提高我区中小学广大干部、教师依法执教，切实维护学生合法权益</w:t>
      </w:r>
      <w:r w:rsidRPr="004B25E8">
        <w:rPr>
          <w:rFonts w:asciiTheme="minorEastAsia" w:eastAsiaTheme="minorEastAsia" w:hAnsiTheme="minorEastAsia" w:cstheme="minorBidi"/>
          <w:w w:val="100"/>
          <w:kern w:val="2"/>
          <w:szCs w:val="24"/>
        </w:rPr>
        <w:t>的意识和能力。德育研究室为区教育行政部门起草的《德育工作年度计划》《暑期工作指导意见》等文件中也将加强法制宣传教育，保护未成年人的合法利益的具体要求作为文件的重要内容，指导区域各校开展教育活动。学院党总支会同工会组织根据普陀区教育工会普法宣传工作的具体要求和部署，成立“五·五”普法工作领导小组，组织开展法律学习活动；认真组织学院干部、教师开展消防安全相关法律的学习，积极开展消防安全演练；全面贯彻落实《上海市公共场</w:t>
      </w:r>
      <w:bookmarkStart w:id="0" w:name="_GoBack"/>
      <w:bookmarkEnd w:id="0"/>
      <w:r w:rsidRPr="004B25E8">
        <w:rPr>
          <w:rFonts w:asciiTheme="minorEastAsia" w:eastAsiaTheme="minorEastAsia" w:hAnsiTheme="minorEastAsia" w:cstheme="minorBidi"/>
          <w:w w:val="100"/>
          <w:kern w:val="2"/>
          <w:szCs w:val="24"/>
        </w:rPr>
        <w:t>所控制吸烟条例》和《普陀区教育系统关于开展公共场所控烟工作的实施方案》，努力营造无烟、清洁、健康、和谐的环境。学院</w:t>
      </w:r>
      <w:r w:rsidRPr="004B25E8">
        <w:rPr>
          <w:rFonts w:asciiTheme="minorEastAsia" w:eastAsiaTheme="minorEastAsia" w:hAnsiTheme="minorEastAsia" w:cstheme="minorBidi" w:hint="eastAsia"/>
          <w:w w:val="100"/>
          <w:kern w:val="2"/>
          <w:szCs w:val="24"/>
        </w:rPr>
        <w:t>还</w:t>
      </w:r>
      <w:r w:rsidRPr="004B25E8">
        <w:rPr>
          <w:rFonts w:asciiTheme="minorEastAsia" w:eastAsiaTheme="minorEastAsia" w:hAnsiTheme="minorEastAsia" w:cstheme="minorBidi"/>
          <w:w w:val="100"/>
          <w:kern w:val="2"/>
          <w:szCs w:val="24"/>
        </w:rPr>
        <w:t>举办</w:t>
      </w:r>
      <w:r w:rsidRPr="004B25E8">
        <w:rPr>
          <w:rFonts w:asciiTheme="minorEastAsia" w:eastAsiaTheme="minorEastAsia" w:hAnsiTheme="minorEastAsia" w:cstheme="minorBidi" w:hint="eastAsia"/>
          <w:w w:val="100"/>
          <w:kern w:val="2"/>
          <w:szCs w:val="24"/>
        </w:rPr>
        <w:t>了</w:t>
      </w:r>
      <w:r w:rsidRPr="004B25E8">
        <w:rPr>
          <w:rFonts w:asciiTheme="minorEastAsia" w:eastAsiaTheme="minorEastAsia" w:hAnsiTheme="minorEastAsia" w:cstheme="minorBidi"/>
          <w:w w:val="100"/>
          <w:kern w:val="2"/>
          <w:szCs w:val="24"/>
        </w:rPr>
        <w:t>《学交通新规</w:t>
      </w:r>
      <w:r w:rsidR="004B25E8">
        <w:rPr>
          <w:rFonts w:asciiTheme="minorEastAsia" w:eastAsiaTheme="minorEastAsia" w:hAnsiTheme="minorEastAsia" w:cstheme="minorBidi"/>
          <w:w w:val="100"/>
          <w:kern w:val="2"/>
          <w:szCs w:val="24"/>
        </w:rPr>
        <w:t xml:space="preserve"> </w:t>
      </w:r>
      <w:r w:rsidRPr="004B25E8">
        <w:rPr>
          <w:rFonts w:asciiTheme="minorEastAsia" w:eastAsiaTheme="minorEastAsia" w:hAnsiTheme="minorEastAsia" w:cstheme="minorBidi"/>
          <w:w w:val="100"/>
          <w:kern w:val="2"/>
          <w:szCs w:val="24"/>
        </w:rPr>
        <w:t>做文明路人</w:t>
      </w:r>
      <w:r w:rsidR="004B25E8">
        <w:rPr>
          <w:rFonts w:asciiTheme="minorEastAsia" w:eastAsiaTheme="minorEastAsia" w:hAnsiTheme="minorEastAsia" w:cstheme="minorBidi"/>
          <w:w w:val="100"/>
          <w:kern w:val="2"/>
          <w:szCs w:val="24"/>
        </w:rPr>
        <w:t xml:space="preserve"> </w:t>
      </w:r>
      <w:r w:rsidRPr="004B25E8">
        <w:rPr>
          <w:rFonts w:asciiTheme="minorEastAsia" w:eastAsiaTheme="minorEastAsia" w:hAnsiTheme="minorEastAsia" w:cstheme="minorBidi"/>
          <w:w w:val="100"/>
          <w:kern w:val="2"/>
          <w:szCs w:val="24"/>
        </w:rPr>
        <w:t>创文明城区——交通文明行宣讲活动》, 特别邀请普陀区交警支队郁天祥警官专题解读最新颁布的《上海市交通管理条例》。</w:t>
      </w:r>
    </w:p>
    <w:p w:rsidR="004B25E8" w:rsidRPr="004B25E8" w:rsidRDefault="004B25E8" w:rsidP="004B25E8">
      <w:pPr>
        <w:ind w:firstLineChars="200" w:firstLine="482"/>
        <w:jc w:val="center"/>
        <w:rPr>
          <w:rFonts w:ascii="Times New Roman" w:eastAsia="宋体" w:hAnsi="Times New Roman"/>
          <w:b/>
          <w:w w:val="100"/>
          <w:kern w:val="2"/>
          <w:sz w:val="28"/>
          <w:szCs w:val="28"/>
        </w:rPr>
      </w:pPr>
      <w:r w:rsidRPr="004B25E8">
        <w:rPr>
          <w:rFonts w:ascii="Times New Roman" w:eastAsia="宋体" w:hAnsi="Times New Roman" w:hint="eastAsia"/>
          <w:b/>
          <w:w w:val="100"/>
          <w:kern w:val="2"/>
        </w:rPr>
        <w:t>目录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154"/>
      </w:tblGrid>
      <w:tr w:rsidR="004B25E8" w:rsidRPr="004B25E8" w:rsidTr="008B0C1B">
        <w:tc>
          <w:tcPr>
            <w:tcW w:w="1368" w:type="dxa"/>
          </w:tcPr>
          <w:p w:rsidR="004B25E8" w:rsidRPr="004B25E8" w:rsidRDefault="004B25E8" w:rsidP="004B25E8">
            <w:pPr>
              <w:jc w:val="center"/>
              <w:rPr>
                <w:rFonts w:ascii="Times New Roman" w:eastAsia="宋体" w:hAnsi="Times New Roman"/>
                <w:b/>
                <w:w w:val="100"/>
                <w:kern w:val="2"/>
              </w:rPr>
            </w:pPr>
            <w:r w:rsidRPr="004B25E8">
              <w:rPr>
                <w:rFonts w:ascii="Times New Roman" w:eastAsia="宋体" w:hAnsi="Times New Roman" w:hint="eastAsia"/>
                <w:b/>
                <w:w w:val="100"/>
                <w:kern w:val="2"/>
              </w:rPr>
              <w:t>序号</w:t>
            </w:r>
          </w:p>
        </w:tc>
        <w:tc>
          <w:tcPr>
            <w:tcW w:w="7154" w:type="dxa"/>
          </w:tcPr>
          <w:p w:rsidR="004B25E8" w:rsidRPr="004B25E8" w:rsidRDefault="004B25E8" w:rsidP="004B25E8">
            <w:pPr>
              <w:jc w:val="center"/>
              <w:rPr>
                <w:rFonts w:ascii="Times New Roman" w:eastAsia="宋体" w:hAnsi="Times New Roman"/>
                <w:b/>
                <w:w w:val="100"/>
                <w:kern w:val="2"/>
              </w:rPr>
            </w:pPr>
            <w:r w:rsidRPr="004B25E8">
              <w:rPr>
                <w:rFonts w:ascii="Times New Roman" w:eastAsia="宋体" w:hAnsi="Times New Roman" w:hint="eastAsia"/>
                <w:b/>
                <w:w w:val="100"/>
                <w:kern w:val="2"/>
              </w:rPr>
              <w:t>文档名</w:t>
            </w:r>
          </w:p>
        </w:tc>
      </w:tr>
      <w:tr w:rsidR="004B25E8" w:rsidRPr="004B25E8" w:rsidTr="008B0C1B">
        <w:tc>
          <w:tcPr>
            <w:tcW w:w="1368" w:type="dxa"/>
          </w:tcPr>
          <w:p w:rsidR="004B25E8" w:rsidRPr="004B25E8" w:rsidRDefault="004B25E8" w:rsidP="004B25E8">
            <w:pPr>
              <w:jc w:val="center"/>
              <w:rPr>
                <w:rFonts w:ascii="Times New Roman" w:eastAsia="宋体" w:hAnsi="Times New Roman"/>
                <w:w w:val="100"/>
                <w:kern w:val="2"/>
              </w:rPr>
            </w:pPr>
            <w:r w:rsidRPr="004B25E8">
              <w:rPr>
                <w:rFonts w:ascii="Times New Roman" w:eastAsia="宋体" w:hAnsi="Times New Roman" w:hint="eastAsia"/>
                <w:w w:val="100"/>
                <w:kern w:val="2"/>
              </w:rPr>
              <w:t>00</w:t>
            </w:r>
          </w:p>
        </w:tc>
        <w:tc>
          <w:tcPr>
            <w:tcW w:w="7154" w:type="dxa"/>
          </w:tcPr>
          <w:p w:rsidR="004B25E8" w:rsidRPr="004B25E8" w:rsidRDefault="004B25E8" w:rsidP="004B25E8">
            <w:pPr>
              <w:rPr>
                <w:rFonts w:ascii="Times New Roman" w:eastAsia="宋体" w:hAnsi="Times New Roman"/>
                <w:w w:val="100"/>
                <w:kern w:val="2"/>
              </w:rPr>
            </w:pPr>
            <w:r w:rsidRPr="004B25E8">
              <w:rPr>
                <w:rFonts w:ascii="Times New Roman" w:eastAsia="宋体" w:hAnsi="Times New Roman" w:hint="eastAsia"/>
                <w:w w:val="100"/>
                <w:kern w:val="2"/>
              </w:rPr>
              <w:t>本</w:t>
            </w:r>
            <w:r w:rsidRPr="004B25E8">
              <w:rPr>
                <w:rFonts w:ascii="Times New Roman" w:eastAsia="宋体" w:hAnsi="Times New Roman"/>
                <w:w w:val="100"/>
                <w:kern w:val="2"/>
              </w:rPr>
              <w:t>栏</w:t>
            </w:r>
            <w:r w:rsidRPr="004B25E8">
              <w:rPr>
                <w:rFonts w:ascii="Times New Roman" w:eastAsia="宋体" w:hAnsi="Times New Roman" w:hint="eastAsia"/>
                <w:w w:val="100"/>
                <w:kern w:val="2"/>
              </w:rPr>
              <w:t>概述</w:t>
            </w:r>
            <w:r w:rsidRPr="004B25E8">
              <w:rPr>
                <w:rFonts w:ascii="Times New Roman" w:eastAsia="宋体" w:hAnsi="Times New Roman"/>
                <w:w w:val="100"/>
                <w:kern w:val="2"/>
              </w:rPr>
              <w:t>与目录</w:t>
            </w:r>
          </w:p>
        </w:tc>
      </w:tr>
      <w:tr w:rsidR="004B25E8" w:rsidRPr="004B25E8" w:rsidTr="008B0C1B">
        <w:tc>
          <w:tcPr>
            <w:tcW w:w="1368" w:type="dxa"/>
          </w:tcPr>
          <w:p w:rsidR="004B25E8" w:rsidRPr="004B25E8" w:rsidRDefault="004B25E8" w:rsidP="004B25E8">
            <w:pPr>
              <w:jc w:val="center"/>
              <w:rPr>
                <w:rFonts w:ascii="Times New Roman" w:eastAsia="宋体" w:hAnsi="Times New Roman"/>
                <w:w w:val="100"/>
                <w:kern w:val="2"/>
              </w:rPr>
            </w:pPr>
            <w:r w:rsidRPr="004B25E8">
              <w:rPr>
                <w:rFonts w:ascii="Times New Roman" w:eastAsia="宋体" w:hAnsi="Times New Roman" w:hint="eastAsia"/>
                <w:w w:val="100"/>
                <w:kern w:val="2"/>
              </w:rPr>
              <w:t>01</w:t>
            </w:r>
          </w:p>
        </w:tc>
        <w:tc>
          <w:tcPr>
            <w:tcW w:w="7154" w:type="dxa"/>
          </w:tcPr>
          <w:p w:rsidR="004B25E8" w:rsidRPr="004B25E8" w:rsidRDefault="004B25E8" w:rsidP="004B25E8">
            <w:pPr>
              <w:jc w:val="left"/>
              <w:rPr>
                <w:rFonts w:ascii="Times New Roman" w:eastAsia="宋体" w:hAnsi="Times New Roman"/>
                <w:w w:val="100"/>
                <w:kern w:val="2"/>
              </w:rPr>
            </w:pPr>
            <w:r w:rsidRPr="004B25E8">
              <w:rPr>
                <w:rFonts w:ascii="Times New Roman" w:eastAsia="宋体" w:hAnsi="Times New Roman" w:hint="eastAsia"/>
                <w:w w:val="100"/>
                <w:kern w:val="2"/>
              </w:rPr>
              <w:t>普陀区教育学院相关安全管理制度汇编</w:t>
            </w:r>
          </w:p>
        </w:tc>
      </w:tr>
      <w:tr w:rsidR="004B25E8" w:rsidRPr="004B25E8" w:rsidTr="008B0C1B">
        <w:tc>
          <w:tcPr>
            <w:tcW w:w="1368" w:type="dxa"/>
          </w:tcPr>
          <w:p w:rsidR="004B25E8" w:rsidRPr="004B25E8" w:rsidRDefault="004B25E8" w:rsidP="004B25E8">
            <w:pPr>
              <w:jc w:val="center"/>
              <w:rPr>
                <w:rFonts w:ascii="Times New Roman" w:eastAsia="宋体" w:hAnsi="Times New Roman"/>
                <w:w w:val="100"/>
                <w:kern w:val="2"/>
              </w:rPr>
            </w:pPr>
            <w:r w:rsidRPr="004B25E8">
              <w:rPr>
                <w:rFonts w:ascii="Times New Roman" w:eastAsia="宋体" w:hAnsi="Times New Roman" w:hint="eastAsia"/>
                <w:w w:val="100"/>
                <w:kern w:val="2"/>
              </w:rPr>
              <w:t>02</w:t>
            </w:r>
          </w:p>
        </w:tc>
        <w:tc>
          <w:tcPr>
            <w:tcW w:w="7154" w:type="dxa"/>
          </w:tcPr>
          <w:p w:rsidR="004B25E8" w:rsidRPr="004B25E8" w:rsidRDefault="004B25E8" w:rsidP="004B25E8">
            <w:pPr>
              <w:jc w:val="left"/>
              <w:rPr>
                <w:rFonts w:ascii="Times New Roman" w:eastAsia="宋体" w:hAnsi="Times New Roman"/>
                <w:w w:val="100"/>
                <w:kern w:val="2"/>
              </w:rPr>
            </w:pPr>
            <w:r w:rsidRPr="004B25E8">
              <w:rPr>
                <w:rFonts w:ascii="Times New Roman" w:eastAsia="宋体" w:hAnsi="Times New Roman" w:hint="eastAsia"/>
                <w:w w:val="100"/>
                <w:kern w:val="2"/>
              </w:rPr>
              <w:t>普陀区教育学院校园内车辆交通管理规定</w:t>
            </w:r>
          </w:p>
        </w:tc>
      </w:tr>
      <w:tr w:rsidR="004B25E8" w:rsidRPr="004B25E8" w:rsidTr="008B0C1B">
        <w:tc>
          <w:tcPr>
            <w:tcW w:w="1368" w:type="dxa"/>
          </w:tcPr>
          <w:p w:rsidR="004B25E8" w:rsidRPr="004B25E8" w:rsidRDefault="004B25E8" w:rsidP="004B25E8">
            <w:pPr>
              <w:jc w:val="center"/>
              <w:rPr>
                <w:rFonts w:ascii="Times New Roman" w:eastAsia="宋体" w:hAnsi="Times New Roman"/>
                <w:w w:val="100"/>
                <w:kern w:val="2"/>
              </w:rPr>
            </w:pPr>
            <w:r w:rsidRPr="004B25E8">
              <w:rPr>
                <w:rFonts w:ascii="Times New Roman" w:eastAsia="宋体" w:hAnsi="Times New Roman" w:hint="eastAsia"/>
                <w:w w:val="100"/>
                <w:kern w:val="2"/>
              </w:rPr>
              <w:t>03</w:t>
            </w:r>
          </w:p>
        </w:tc>
        <w:tc>
          <w:tcPr>
            <w:tcW w:w="7154" w:type="dxa"/>
          </w:tcPr>
          <w:p w:rsidR="004B25E8" w:rsidRPr="004B25E8" w:rsidRDefault="004B25E8" w:rsidP="004B25E8">
            <w:pPr>
              <w:jc w:val="left"/>
              <w:rPr>
                <w:rFonts w:ascii="Times New Roman" w:eastAsia="宋体" w:hAnsi="Times New Roman"/>
                <w:w w:val="100"/>
                <w:kern w:val="2"/>
              </w:rPr>
            </w:pPr>
            <w:r w:rsidRPr="004B25E8">
              <w:rPr>
                <w:rFonts w:ascii="Times New Roman" w:eastAsia="宋体" w:hAnsi="Times New Roman"/>
                <w:w w:val="100"/>
                <w:kern w:val="2"/>
              </w:rPr>
              <w:t>学交通新</w:t>
            </w:r>
            <w:proofErr w:type="gramStart"/>
            <w:r w:rsidRPr="004B25E8">
              <w:rPr>
                <w:rFonts w:ascii="Times New Roman" w:eastAsia="宋体" w:hAnsi="Times New Roman"/>
                <w:w w:val="100"/>
                <w:kern w:val="2"/>
              </w:rPr>
              <w:t>规</w:t>
            </w:r>
            <w:proofErr w:type="gramEnd"/>
            <w:r w:rsidRPr="004B25E8">
              <w:rPr>
                <w:rFonts w:ascii="Times New Roman" w:eastAsia="宋体" w:hAnsi="Times New Roman"/>
                <w:w w:val="100"/>
                <w:kern w:val="2"/>
              </w:rPr>
              <w:t xml:space="preserve"> </w:t>
            </w:r>
            <w:r w:rsidRPr="004B25E8">
              <w:rPr>
                <w:rFonts w:ascii="Times New Roman" w:eastAsia="宋体" w:hAnsi="Times New Roman"/>
                <w:w w:val="100"/>
                <w:kern w:val="2"/>
              </w:rPr>
              <w:t>做文明路人</w:t>
            </w:r>
            <w:r w:rsidRPr="004B25E8">
              <w:rPr>
                <w:rFonts w:ascii="Times New Roman" w:eastAsia="宋体" w:hAnsi="Times New Roman"/>
                <w:w w:val="100"/>
                <w:kern w:val="2"/>
              </w:rPr>
              <w:t xml:space="preserve"> </w:t>
            </w:r>
            <w:r w:rsidRPr="004B25E8">
              <w:rPr>
                <w:rFonts w:ascii="Times New Roman" w:eastAsia="宋体" w:hAnsi="Times New Roman"/>
                <w:w w:val="100"/>
                <w:kern w:val="2"/>
              </w:rPr>
              <w:t>创文明城区</w:t>
            </w:r>
          </w:p>
        </w:tc>
      </w:tr>
      <w:tr w:rsidR="004B25E8" w:rsidRPr="004B25E8" w:rsidTr="008B0C1B">
        <w:tc>
          <w:tcPr>
            <w:tcW w:w="1368" w:type="dxa"/>
          </w:tcPr>
          <w:p w:rsidR="004B25E8" w:rsidRPr="004B25E8" w:rsidRDefault="004B25E8" w:rsidP="004B25E8">
            <w:pPr>
              <w:jc w:val="center"/>
              <w:rPr>
                <w:rFonts w:ascii="Times New Roman" w:eastAsia="宋体" w:hAnsi="Times New Roman"/>
                <w:w w:val="100"/>
                <w:kern w:val="2"/>
              </w:rPr>
            </w:pPr>
            <w:r w:rsidRPr="004B25E8">
              <w:rPr>
                <w:rFonts w:ascii="Times New Roman" w:eastAsia="宋体" w:hAnsi="Times New Roman" w:hint="eastAsia"/>
                <w:w w:val="100"/>
                <w:kern w:val="2"/>
              </w:rPr>
              <w:t>04</w:t>
            </w:r>
          </w:p>
        </w:tc>
        <w:tc>
          <w:tcPr>
            <w:tcW w:w="7154" w:type="dxa"/>
          </w:tcPr>
          <w:p w:rsidR="004B25E8" w:rsidRPr="004B25E8" w:rsidRDefault="004B25E8" w:rsidP="004B25E8">
            <w:pPr>
              <w:jc w:val="left"/>
              <w:rPr>
                <w:rFonts w:ascii="Times New Roman" w:eastAsia="宋体" w:hAnsi="Times New Roman"/>
                <w:w w:val="100"/>
                <w:kern w:val="2"/>
              </w:rPr>
            </w:pPr>
            <w:r w:rsidRPr="004B25E8">
              <w:rPr>
                <w:rFonts w:ascii="Times New Roman" w:eastAsia="宋体" w:hAnsi="Times New Roman" w:hint="eastAsia"/>
                <w:w w:val="100"/>
                <w:kern w:val="2"/>
              </w:rPr>
              <w:t>普陀区教育学院开发</w:t>
            </w:r>
            <w:r w:rsidRPr="004B25E8">
              <w:rPr>
                <w:rFonts w:ascii="Times New Roman" w:eastAsia="宋体" w:hAnsi="Times New Roman"/>
                <w:w w:val="100"/>
                <w:kern w:val="2"/>
              </w:rPr>
              <w:t>《小学消防安全教育》教材</w:t>
            </w:r>
          </w:p>
        </w:tc>
      </w:tr>
      <w:tr w:rsidR="004B25E8" w:rsidRPr="004B25E8" w:rsidTr="008B0C1B">
        <w:tc>
          <w:tcPr>
            <w:tcW w:w="1368" w:type="dxa"/>
          </w:tcPr>
          <w:p w:rsidR="004B25E8" w:rsidRPr="004B25E8" w:rsidRDefault="004B25E8" w:rsidP="004B25E8">
            <w:pPr>
              <w:jc w:val="center"/>
              <w:rPr>
                <w:rFonts w:ascii="Times New Roman" w:eastAsia="宋体" w:hAnsi="Times New Roman"/>
                <w:color w:val="000000"/>
                <w:w w:val="100"/>
                <w:kern w:val="2"/>
                <w:highlight w:val="yellow"/>
              </w:rPr>
            </w:pPr>
            <w:r w:rsidRPr="004B25E8">
              <w:rPr>
                <w:rFonts w:ascii="Times New Roman" w:eastAsia="宋体" w:hAnsi="Times New Roman" w:hint="eastAsia"/>
                <w:color w:val="000000"/>
                <w:w w:val="100"/>
                <w:kern w:val="2"/>
              </w:rPr>
              <w:t>05</w:t>
            </w:r>
          </w:p>
        </w:tc>
        <w:tc>
          <w:tcPr>
            <w:tcW w:w="7154" w:type="dxa"/>
          </w:tcPr>
          <w:p w:rsidR="004B25E8" w:rsidRPr="004B25E8" w:rsidRDefault="004B25E8" w:rsidP="004B25E8">
            <w:pPr>
              <w:jc w:val="left"/>
              <w:rPr>
                <w:rFonts w:ascii="Times New Roman" w:eastAsia="宋体" w:hAnsi="Times New Roman"/>
                <w:w w:val="100"/>
                <w:kern w:val="2"/>
              </w:rPr>
            </w:pPr>
            <w:r w:rsidRPr="004B25E8">
              <w:rPr>
                <w:rFonts w:ascii="Times New Roman" w:eastAsia="宋体" w:hAnsi="Times New Roman"/>
                <w:w w:val="100"/>
                <w:kern w:val="2"/>
              </w:rPr>
              <w:t>教研室组织一年级统编教材《道德与法治》暑期培训</w:t>
            </w:r>
          </w:p>
        </w:tc>
      </w:tr>
      <w:tr w:rsidR="004B25E8" w:rsidRPr="004B25E8" w:rsidTr="008B0C1B">
        <w:tc>
          <w:tcPr>
            <w:tcW w:w="1368" w:type="dxa"/>
          </w:tcPr>
          <w:p w:rsidR="004B25E8" w:rsidRPr="004B25E8" w:rsidRDefault="004B25E8" w:rsidP="004B25E8">
            <w:pPr>
              <w:jc w:val="center"/>
              <w:rPr>
                <w:rFonts w:ascii="Times New Roman" w:eastAsia="宋体" w:hAnsi="Times New Roman"/>
                <w:w w:val="100"/>
                <w:kern w:val="2"/>
                <w:highlight w:val="yellow"/>
              </w:rPr>
            </w:pPr>
            <w:r w:rsidRPr="004B25E8">
              <w:rPr>
                <w:rFonts w:ascii="Times New Roman" w:eastAsia="宋体" w:hAnsi="Times New Roman" w:hint="eastAsia"/>
                <w:w w:val="100"/>
                <w:kern w:val="2"/>
              </w:rPr>
              <w:t>06</w:t>
            </w:r>
          </w:p>
        </w:tc>
        <w:tc>
          <w:tcPr>
            <w:tcW w:w="7154" w:type="dxa"/>
          </w:tcPr>
          <w:p w:rsidR="004B25E8" w:rsidRPr="004B25E8" w:rsidRDefault="004B25E8" w:rsidP="004B25E8">
            <w:pPr>
              <w:jc w:val="left"/>
              <w:rPr>
                <w:rFonts w:ascii="Times New Roman" w:eastAsia="宋体" w:hAnsi="Times New Roman"/>
                <w:w w:val="100"/>
                <w:kern w:val="2"/>
              </w:rPr>
            </w:pPr>
            <w:r w:rsidRPr="004B25E8">
              <w:rPr>
                <w:rFonts w:ascii="Times New Roman" w:eastAsia="宋体" w:hAnsi="Times New Roman"/>
                <w:w w:val="100"/>
                <w:kern w:val="2"/>
              </w:rPr>
              <w:t>普陀区开展高中道德法治教育活动</w:t>
            </w:r>
          </w:p>
        </w:tc>
      </w:tr>
      <w:tr w:rsidR="004B25E8" w:rsidRPr="004B25E8" w:rsidTr="008B0C1B">
        <w:tc>
          <w:tcPr>
            <w:tcW w:w="1368" w:type="dxa"/>
          </w:tcPr>
          <w:p w:rsidR="004B25E8" w:rsidRPr="004B25E8" w:rsidRDefault="004B25E8" w:rsidP="004B25E8">
            <w:pPr>
              <w:jc w:val="center"/>
              <w:rPr>
                <w:rFonts w:ascii="Times New Roman" w:eastAsia="宋体" w:hAnsi="Times New Roman"/>
                <w:w w:val="100"/>
                <w:kern w:val="2"/>
              </w:rPr>
            </w:pPr>
            <w:r w:rsidRPr="004B25E8">
              <w:rPr>
                <w:rFonts w:ascii="Times New Roman" w:eastAsia="宋体" w:hAnsi="Times New Roman" w:hint="eastAsia"/>
                <w:w w:val="100"/>
                <w:kern w:val="2"/>
              </w:rPr>
              <w:t>07</w:t>
            </w:r>
          </w:p>
        </w:tc>
        <w:tc>
          <w:tcPr>
            <w:tcW w:w="7154" w:type="dxa"/>
          </w:tcPr>
          <w:p w:rsidR="004B25E8" w:rsidRPr="004B25E8" w:rsidRDefault="004B25E8" w:rsidP="004B25E8">
            <w:pPr>
              <w:jc w:val="left"/>
              <w:rPr>
                <w:rFonts w:ascii="Times New Roman" w:eastAsia="宋体" w:hAnsi="Times New Roman"/>
                <w:w w:val="100"/>
                <w:kern w:val="2"/>
              </w:rPr>
            </w:pPr>
            <w:r w:rsidRPr="004B25E8">
              <w:rPr>
                <w:rFonts w:ascii="Times New Roman" w:eastAsia="宋体" w:hAnsi="Times New Roman" w:hint="eastAsia"/>
                <w:w w:val="100"/>
                <w:kern w:val="2"/>
              </w:rPr>
              <w:t>教育学院组织学习“新宪法”</w:t>
            </w:r>
          </w:p>
        </w:tc>
      </w:tr>
      <w:tr w:rsidR="004B25E8" w:rsidRPr="004B25E8" w:rsidTr="008B0C1B">
        <w:tc>
          <w:tcPr>
            <w:tcW w:w="1368" w:type="dxa"/>
          </w:tcPr>
          <w:p w:rsidR="004B25E8" w:rsidRPr="004B25E8" w:rsidRDefault="004B25E8" w:rsidP="004B25E8">
            <w:pPr>
              <w:jc w:val="center"/>
              <w:rPr>
                <w:rFonts w:ascii="Times New Roman" w:eastAsia="宋体" w:hAnsi="Times New Roman"/>
                <w:w w:val="100"/>
                <w:kern w:val="2"/>
              </w:rPr>
            </w:pPr>
            <w:r w:rsidRPr="004B25E8">
              <w:rPr>
                <w:rFonts w:ascii="Times New Roman" w:eastAsia="宋体" w:hAnsi="Times New Roman" w:hint="eastAsia"/>
                <w:w w:val="100"/>
                <w:kern w:val="2"/>
              </w:rPr>
              <w:t>08</w:t>
            </w:r>
          </w:p>
        </w:tc>
        <w:tc>
          <w:tcPr>
            <w:tcW w:w="7154" w:type="dxa"/>
          </w:tcPr>
          <w:p w:rsidR="004B25E8" w:rsidRPr="004B25E8" w:rsidRDefault="004B25E8" w:rsidP="004B25E8">
            <w:pPr>
              <w:jc w:val="left"/>
              <w:rPr>
                <w:rFonts w:ascii="Times New Roman" w:eastAsia="宋体" w:hAnsi="Times New Roman"/>
                <w:w w:val="100"/>
                <w:kern w:val="2"/>
              </w:rPr>
            </w:pPr>
            <w:r w:rsidRPr="004B25E8">
              <w:rPr>
                <w:rFonts w:ascii="Times New Roman" w:eastAsia="宋体" w:hAnsi="Times New Roman" w:hint="eastAsia"/>
                <w:w w:val="100"/>
                <w:kern w:val="2"/>
              </w:rPr>
              <w:t>普陀区青少年宪法学习</w:t>
            </w:r>
            <w:r w:rsidRPr="004B25E8">
              <w:rPr>
                <w:rFonts w:ascii="Times New Roman" w:eastAsia="宋体" w:hAnsi="Times New Roman"/>
                <w:w w:val="100"/>
                <w:kern w:val="2"/>
              </w:rPr>
              <w:t>教育情况总结</w:t>
            </w:r>
          </w:p>
        </w:tc>
      </w:tr>
      <w:tr w:rsidR="004B25E8" w:rsidRPr="004B25E8" w:rsidTr="008B0C1B">
        <w:tc>
          <w:tcPr>
            <w:tcW w:w="1368" w:type="dxa"/>
          </w:tcPr>
          <w:p w:rsidR="004B25E8" w:rsidRPr="004B25E8" w:rsidRDefault="004B25E8" w:rsidP="004B25E8">
            <w:pPr>
              <w:jc w:val="center"/>
              <w:rPr>
                <w:rFonts w:ascii="Times New Roman" w:eastAsia="宋体" w:hAnsi="Times New Roman"/>
                <w:w w:val="100"/>
                <w:kern w:val="2"/>
              </w:rPr>
            </w:pPr>
            <w:r w:rsidRPr="004B25E8">
              <w:rPr>
                <w:rFonts w:ascii="Times New Roman" w:eastAsia="宋体" w:hAnsi="Times New Roman" w:hint="eastAsia"/>
                <w:w w:val="100"/>
                <w:kern w:val="2"/>
              </w:rPr>
              <w:t>09</w:t>
            </w:r>
          </w:p>
        </w:tc>
        <w:tc>
          <w:tcPr>
            <w:tcW w:w="7154" w:type="dxa"/>
          </w:tcPr>
          <w:p w:rsidR="004B25E8" w:rsidRPr="004B25E8" w:rsidRDefault="004B25E8" w:rsidP="004B25E8">
            <w:pPr>
              <w:jc w:val="left"/>
              <w:rPr>
                <w:rFonts w:ascii="Times New Roman" w:eastAsia="宋体" w:hAnsi="Times New Roman"/>
                <w:w w:val="100"/>
                <w:kern w:val="2"/>
              </w:rPr>
            </w:pPr>
            <w:r w:rsidRPr="004B25E8">
              <w:rPr>
                <w:rFonts w:ascii="Times New Roman" w:eastAsia="宋体" w:hAnsi="Times New Roman" w:hint="eastAsia"/>
                <w:w w:val="100"/>
                <w:kern w:val="2"/>
              </w:rPr>
              <w:t>链接生活，德法相融</w:t>
            </w:r>
          </w:p>
        </w:tc>
      </w:tr>
      <w:tr w:rsidR="004B25E8" w:rsidRPr="004B25E8" w:rsidTr="008B0C1B">
        <w:tc>
          <w:tcPr>
            <w:tcW w:w="1368" w:type="dxa"/>
          </w:tcPr>
          <w:p w:rsidR="004B25E8" w:rsidRPr="004B25E8" w:rsidRDefault="004B25E8" w:rsidP="004B25E8">
            <w:pPr>
              <w:jc w:val="center"/>
              <w:rPr>
                <w:rFonts w:ascii="Times New Roman" w:eastAsia="宋体" w:hAnsi="Times New Roman"/>
                <w:w w:val="100"/>
                <w:kern w:val="2"/>
              </w:rPr>
            </w:pPr>
            <w:r w:rsidRPr="004B25E8">
              <w:rPr>
                <w:rFonts w:ascii="Times New Roman" w:eastAsia="宋体" w:hAnsi="Times New Roman" w:hint="eastAsia"/>
                <w:w w:val="100"/>
                <w:kern w:val="2"/>
              </w:rPr>
              <w:t>10</w:t>
            </w:r>
          </w:p>
        </w:tc>
        <w:tc>
          <w:tcPr>
            <w:tcW w:w="7154" w:type="dxa"/>
          </w:tcPr>
          <w:p w:rsidR="004B25E8" w:rsidRPr="004B25E8" w:rsidRDefault="004B25E8" w:rsidP="004B25E8">
            <w:pPr>
              <w:jc w:val="left"/>
              <w:rPr>
                <w:rFonts w:ascii="Times New Roman" w:eastAsia="宋体" w:hAnsi="Times New Roman"/>
                <w:w w:val="100"/>
                <w:kern w:val="2"/>
              </w:rPr>
            </w:pPr>
            <w:r w:rsidRPr="004B25E8">
              <w:rPr>
                <w:rFonts w:ascii="Times New Roman" w:eastAsia="宋体" w:hAnsi="Times New Roman" w:hint="eastAsia"/>
                <w:w w:val="100"/>
                <w:kern w:val="2"/>
              </w:rPr>
              <w:t>统编教材《道德与法治》区域推进过程中的</w:t>
            </w:r>
            <w:r w:rsidRPr="004B25E8">
              <w:rPr>
                <w:rFonts w:ascii="Times New Roman" w:eastAsia="宋体" w:hAnsi="Times New Roman"/>
                <w:w w:val="100"/>
                <w:kern w:val="2"/>
              </w:rPr>
              <w:t>经验与问题</w:t>
            </w:r>
          </w:p>
        </w:tc>
      </w:tr>
      <w:tr w:rsidR="004B25E8" w:rsidRPr="004B25E8" w:rsidTr="008B0C1B">
        <w:tc>
          <w:tcPr>
            <w:tcW w:w="1368" w:type="dxa"/>
          </w:tcPr>
          <w:p w:rsidR="004B25E8" w:rsidRPr="004B25E8" w:rsidRDefault="004B25E8" w:rsidP="004B25E8">
            <w:pPr>
              <w:jc w:val="center"/>
              <w:rPr>
                <w:rFonts w:ascii="Times New Roman" w:eastAsia="宋体" w:hAnsi="Times New Roman"/>
                <w:w w:val="100"/>
                <w:kern w:val="2"/>
              </w:rPr>
            </w:pPr>
            <w:r w:rsidRPr="004B25E8">
              <w:rPr>
                <w:rFonts w:ascii="Times New Roman" w:eastAsia="宋体" w:hAnsi="Times New Roman" w:hint="eastAsia"/>
                <w:w w:val="100"/>
                <w:kern w:val="2"/>
              </w:rPr>
              <w:t>11</w:t>
            </w:r>
          </w:p>
        </w:tc>
        <w:tc>
          <w:tcPr>
            <w:tcW w:w="7154" w:type="dxa"/>
          </w:tcPr>
          <w:p w:rsidR="004B25E8" w:rsidRPr="004B25E8" w:rsidRDefault="004B25E8" w:rsidP="004B25E8">
            <w:pPr>
              <w:jc w:val="left"/>
              <w:rPr>
                <w:rFonts w:ascii="Times New Roman" w:eastAsia="宋体" w:hAnsi="Times New Roman"/>
                <w:w w:val="100"/>
                <w:kern w:val="2"/>
              </w:rPr>
            </w:pPr>
            <w:r w:rsidRPr="004B25E8">
              <w:rPr>
                <w:rFonts w:ascii="Times New Roman" w:eastAsia="宋体" w:hAnsi="Times New Roman" w:hint="eastAsia"/>
                <w:w w:val="100"/>
                <w:kern w:val="2"/>
              </w:rPr>
              <w:t>接</w:t>
            </w:r>
            <w:r w:rsidRPr="004B25E8">
              <w:rPr>
                <w:rFonts w:ascii="Times New Roman" w:eastAsia="宋体" w:hAnsi="Times New Roman"/>
                <w:w w:val="100"/>
                <w:kern w:val="2"/>
              </w:rPr>
              <w:t>“</w:t>
            </w:r>
            <w:r w:rsidRPr="004B25E8">
              <w:rPr>
                <w:rFonts w:ascii="Times New Roman" w:eastAsia="宋体" w:hAnsi="Times New Roman" w:hint="eastAsia"/>
                <w:w w:val="100"/>
                <w:kern w:val="2"/>
              </w:rPr>
              <w:t>地气</w:t>
            </w:r>
            <w:r w:rsidRPr="004B25E8">
              <w:rPr>
                <w:rFonts w:ascii="Times New Roman" w:eastAsia="宋体" w:hAnsi="Times New Roman"/>
                <w:w w:val="100"/>
                <w:kern w:val="2"/>
              </w:rPr>
              <w:t>”</w:t>
            </w:r>
            <w:r w:rsidRPr="004B25E8">
              <w:rPr>
                <w:rFonts w:ascii="Times New Roman" w:eastAsia="宋体" w:hAnsi="Times New Roman" w:hint="eastAsia"/>
                <w:w w:val="100"/>
                <w:kern w:val="2"/>
              </w:rPr>
              <w:t>，也要接“天气”——</w:t>
            </w:r>
            <w:r w:rsidRPr="004B25E8">
              <w:rPr>
                <w:rFonts w:ascii="Times New Roman" w:eastAsia="宋体" w:hAnsi="Times New Roman"/>
                <w:w w:val="100"/>
                <w:kern w:val="2"/>
              </w:rPr>
              <w:t>2018</w:t>
            </w:r>
            <w:r w:rsidRPr="004B25E8">
              <w:rPr>
                <w:rFonts w:ascii="Times New Roman" w:eastAsia="宋体" w:hAnsi="Times New Roman" w:hint="eastAsia"/>
                <w:w w:val="100"/>
                <w:kern w:val="2"/>
              </w:rPr>
              <w:t>小学道德与法治暑期培训工作总结</w:t>
            </w:r>
          </w:p>
        </w:tc>
      </w:tr>
    </w:tbl>
    <w:p w:rsidR="00ED6871" w:rsidRPr="002D3C3D" w:rsidRDefault="00ED6871" w:rsidP="004B25E8">
      <w:pPr>
        <w:spacing w:line="360" w:lineRule="auto"/>
        <w:ind w:firstLineChars="200" w:firstLine="383"/>
        <w:rPr>
          <w:rFonts w:ascii="宋体" w:eastAsia="宋体" w:hAnsi="宋体"/>
          <w:szCs w:val="24"/>
        </w:rPr>
      </w:pPr>
    </w:p>
    <w:sectPr w:rsidR="00ED6871" w:rsidRPr="002D3C3D">
      <w:headerReference w:type="default" r:id="rId6"/>
      <w:pgSz w:w="11906" w:h="16838"/>
      <w:pgMar w:top="1134" w:right="1418" w:bottom="113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0E6" w:rsidRDefault="00F230E6" w:rsidP="006D500D">
      <w:r>
        <w:separator/>
      </w:r>
    </w:p>
  </w:endnote>
  <w:endnote w:type="continuationSeparator" w:id="0">
    <w:p w:rsidR="00F230E6" w:rsidRDefault="00F230E6" w:rsidP="006D5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Brush Script MT">
    <w:panose1 w:val="03060802040406070304"/>
    <w:charset w:val="00"/>
    <w:family w:val="script"/>
    <w:pitch w:val="variable"/>
    <w:sig w:usb0="00000003" w:usb1="00000000" w:usb2="00000000" w:usb3="00000000" w:csb0="00000001" w:csb1="00000000"/>
  </w:font>
  <w:font w:name="金梅毛楷體">
    <w:altName w:val="Arial Unicode MS"/>
    <w:charset w:val="88"/>
    <w:family w:val="modern"/>
    <w:pitch w:val="fixed"/>
    <w:sig w:usb0="00000000" w:usb1="08080000" w:usb2="00000010" w:usb3="00000000" w:csb0="00100000" w:csb1="00000000"/>
  </w:font>
  <w:font w:name="楷体_GB2312">
    <w:altName w:val="楷体"/>
    <w:charset w:val="86"/>
    <w:family w:val="modern"/>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0E6" w:rsidRDefault="00F230E6" w:rsidP="006D500D">
      <w:r>
        <w:separator/>
      </w:r>
    </w:p>
  </w:footnote>
  <w:footnote w:type="continuationSeparator" w:id="0">
    <w:p w:rsidR="00F230E6" w:rsidRDefault="00F230E6" w:rsidP="006D50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6CD" w:rsidRDefault="007A626F">
    <w:pPr>
      <w:pStyle w:val="a3"/>
      <w:pBdr>
        <w:bottom w:val="double" w:sz="4" w:space="1" w:color="339966"/>
      </w:pBdr>
      <w:jc w:val="both"/>
      <w:rPr>
        <w:rFonts w:eastAsia="金梅毛楷體"/>
        <w:color w:val="FF0000"/>
        <w:sz w:val="28"/>
        <w:szCs w:val="28"/>
      </w:rPr>
    </w:pPr>
    <w:r>
      <w:rPr>
        <w:rFonts w:eastAsia="金梅毛楷體" w:hint="eastAsia"/>
        <w:noProof/>
        <w:color w:val="FF0000"/>
        <w:sz w:val="28"/>
        <w:szCs w:val="28"/>
      </w:rPr>
      <w:drawing>
        <wp:inline distT="0" distB="0" distL="0" distR="0" wp14:anchorId="63EC3F21" wp14:editId="793ECDEB">
          <wp:extent cx="338455" cy="326390"/>
          <wp:effectExtent l="0" t="0" r="4445" b="0"/>
          <wp:docPr id="1" name="图片 1" descr="院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院标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8455" cy="326390"/>
                  </a:xfrm>
                  <a:prstGeom prst="rect">
                    <a:avLst/>
                  </a:prstGeom>
                  <a:noFill/>
                  <a:ln>
                    <a:noFill/>
                  </a:ln>
                </pic:spPr>
              </pic:pic>
            </a:graphicData>
          </a:graphic>
        </wp:inline>
      </w:drawing>
    </w:r>
    <w:r>
      <w:rPr>
        <w:rFonts w:eastAsia="楷体_GB2312" w:hint="eastAsia"/>
        <w:b/>
        <w:color w:val="339966"/>
        <w:sz w:val="28"/>
        <w:szCs w:val="28"/>
      </w:rPr>
      <w:t>上海市普陀区教育学院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76F"/>
    <w:rsid w:val="0002797D"/>
    <w:rsid w:val="00242798"/>
    <w:rsid w:val="002D3C3D"/>
    <w:rsid w:val="003845B2"/>
    <w:rsid w:val="004B25E8"/>
    <w:rsid w:val="00570B44"/>
    <w:rsid w:val="006A2942"/>
    <w:rsid w:val="006D276F"/>
    <w:rsid w:val="006D500D"/>
    <w:rsid w:val="007245B1"/>
    <w:rsid w:val="007A626F"/>
    <w:rsid w:val="007C5C10"/>
    <w:rsid w:val="007F1F17"/>
    <w:rsid w:val="008070FD"/>
    <w:rsid w:val="009F1D45"/>
    <w:rsid w:val="00CB561C"/>
    <w:rsid w:val="00ED6871"/>
    <w:rsid w:val="00F23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7582356-9A38-4CBB-85C2-842D3F92D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561C"/>
    <w:pPr>
      <w:widowControl w:val="0"/>
      <w:jc w:val="both"/>
    </w:pPr>
    <w:rPr>
      <w:rFonts w:ascii="楷体" w:eastAsia="楷体" w:hAnsi="Brush Script MT" w:cs="Times New Roman"/>
      <w:w w:val="80"/>
      <w:kern w:val="0"/>
      <w:sz w:val="24"/>
      <w:szCs w:val="20"/>
    </w:rPr>
  </w:style>
  <w:style w:type="paragraph" w:styleId="1">
    <w:name w:val="heading 1"/>
    <w:basedOn w:val="a"/>
    <w:next w:val="a"/>
    <w:link w:val="1Char"/>
    <w:uiPriority w:val="99"/>
    <w:qFormat/>
    <w:rsid w:val="003845B2"/>
    <w:pPr>
      <w:widowControl/>
      <w:spacing w:before="100" w:beforeAutospacing="1" w:after="100" w:afterAutospacing="1"/>
      <w:jc w:val="left"/>
      <w:outlineLvl w:val="0"/>
    </w:pPr>
    <w:rPr>
      <w:rFonts w:ascii="宋体" w:eastAsia="宋体" w:hAnsi="宋体"/>
      <w:b/>
      <w:bCs/>
      <w:w w:val="100"/>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D276F"/>
    <w:pPr>
      <w:pBdr>
        <w:bottom w:val="single" w:sz="6" w:space="1" w:color="auto"/>
      </w:pBdr>
      <w:tabs>
        <w:tab w:val="center" w:pos="4153"/>
        <w:tab w:val="right" w:pos="8306"/>
      </w:tabs>
      <w:snapToGrid w:val="0"/>
      <w:jc w:val="center"/>
    </w:pPr>
    <w:rPr>
      <w:rFonts w:ascii="Times New Roman" w:eastAsia="宋体" w:hAnsi="Times New Roman"/>
      <w:w w:val="100"/>
      <w:kern w:val="2"/>
      <w:sz w:val="18"/>
      <w:szCs w:val="18"/>
    </w:rPr>
  </w:style>
  <w:style w:type="character" w:customStyle="1" w:styleId="Char">
    <w:name w:val="页眉 Char"/>
    <w:basedOn w:val="a0"/>
    <w:link w:val="a3"/>
    <w:rsid w:val="006D276F"/>
    <w:rPr>
      <w:rFonts w:ascii="Times New Roman" w:eastAsia="宋体" w:hAnsi="Times New Roman" w:cs="Times New Roman"/>
      <w:sz w:val="18"/>
      <w:szCs w:val="18"/>
    </w:rPr>
  </w:style>
  <w:style w:type="character" w:customStyle="1" w:styleId="1Char">
    <w:name w:val="标题 1 Char"/>
    <w:basedOn w:val="a0"/>
    <w:link w:val="1"/>
    <w:uiPriority w:val="99"/>
    <w:qFormat/>
    <w:rsid w:val="003845B2"/>
    <w:rPr>
      <w:rFonts w:ascii="宋体" w:eastAsia="宋体" w:hAnsi="宋体" w:cs="Times New Roman"/>
      <w:b/>
      <w:bCs/>
      <w:kern w:val="36"/>
      <w:sz w:val="48"/>
      <w:szCs w:val="48"/>
      <w:lang w:val="x-none" w:eastAsia="x-none"/>
    </w:rPr>
  </w:style>
  <w:style w:type="paragraph" w:styleId="a4">
    <w:name w:val="Normal (Web)"/>
    <w:basedOn w:val="a"/>
    <w:uiPriority w:val="99"/>
    <w:rsid w:val="003845B2"/>
    <w:pPr>
      <w:widowControl/>
      <w:spacing w:before="100" w:beforeAutospacing="1" w:after="100" w:afterAutospacing="1"/>
      <w:jc w:val="left"/>
    </w:pPr>
    <w:rPr>
      <w:rFonts w:ascii="宋体" w:eastAsia="宋体" w:hAnsi="宋体" w:cs="宋体"/>
      <w:szCs w:val="24"/>
    </w:rPr>
  </w:style>
  <w:style w:type="paragraph" w:styleId="a5">
    <w:name w:val="footer"/>
    <w:basedOn w:val="a"/>
    <w:link w:val="Char0"/>
    <w:uiPriority w:val="99"/>
    <w:unhideWhenUsed/>
    <w:rsid w:val="006D500D"/>
    <w:pPr>
      <w:tabs>
        <w:tab w:val="center" w:pos="4153"/>
        <w:tab w:val="right" w:pos="8306"/>
      </w:tabs>
      <w:snapToGrid w:val="0"/>
      <w:jc w:val="left"/>
    </w:pPr>
    <w:rPr>
      <w:rFonts w:asciiTheme="minorHAnsi" w:eastAsiaTheme="minorEastAsia" w:hAnsiTheme="minorHAnsi" w:cstheme="minorBidi"/>
      <w:w w:val="100"/>
      <w:kern w:val="2"/>
      <w:sz w:val="18"/>
      <w:szCs w:val="18"/>
    </w:rPr>
  </w:style>
  <w:style w:type="character" w:customStyle="1" w:styleId="Char0">
    <w:name w:val="页脚 Char"/>
    <w:basedOn w:val="a0"/>
    <w:link w:val="a5"/>
    <w:uiPriority w:val="99"/>
    <w:rsid w:val="006D500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windows-002</dc:creator>
  <cp:keywords/>
  <dc:description/>
  <cp:lastModifiedBy>windows-002</cp:lastModifiedBy>
  <cp:revision>3</cp:revision>
  <dcterms:created xsi:type="dcterms:W3CDTF">2018-11-19T13:33:00Z</dcterms:created>
  <dcterms:modified xsi:type="dcterms:W3CDTF">2018-11-20T03:31:00Z</dcterms:modified>
</cp:coreProperties>
</file>