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82546" w14:textId="05FAC39E" w:rsidR="00176EB1" w:rsidRDefault="00150FFD" w:rsidP="005B5AEE">
      <w:pPr>
        <w:spacing w:after="0" w:line="560" w:lineRule="exact"/>
        <w:jc w:val="center"/>
        <w:rPr>
          <w:rFonts w:ascii="黑体" w:eastAsia="黑体" w:hAnsi="黑体" w:cs="黑体"/>
          <w:b/>
          <w:bCs/>
          <w:sz w:val="36"/>
          <w:szCs w:val="36"/>
        </w:rPr>
      </w:pPr>
      <w:r>
        <w:rPr>
          <w:rFonts w:ascii="黑体" w:eastAsia="黑体" w:hAnsi="黑体" w:cs="黑体" w:hint="eastAsia"/>
          <w:b/>
          <w:bCs/>
          <w:sz w:val="36"/>
          <w:szCs w:val="36"/>
        </w:rPr>
        <w:t>关于开展</w:t>
      </w:r>
      <w:bookmarkStart w:id="0" w:name="_GoBack"/>
      <w:bookmarkEnd w:id="0"/>
      <w:r>
        <w:rPr>
          <w:rFonts w:ascii="黑体" w:eastAsia="黑体" w:hAnsi="黑体" w:cs="黑体" w:hint="eastAsia"/>
          <w:b/>
          <w:bCs/>
          <w:sz w:val="36"/>
          <w:szCs w:val="36"/>
        </w:rPr>
        <w:t>中小学读书行动典型案例</w:t>
      </w:r>
    </w:p>
    <w:p w14:paraId="65EAF034" w14:textId="77777777" w:rsidR="00176EB1" w:rsidRDefault="00A43F5B">
      <w:pPr>
        <w:spacing w:after="0" w:line="560" w:lineRule="exact"/>
        <w:jc w:val="center"/>
        <w:rPr>
          <w:rFonts w:ascii="黑体" w:eastAsia="黑体" w:hAnsi="黑体" w:cs="黑体"/>
          <w:b/>
          <w:bCs/>
          <w:sz w:val="36"/>
          <w:szCs w:val="36"/>
        </w:rPr>
      </w:pPr>
      <w:r>
        <w:rPr>
          <w:rFonts w:ascii="黑体" w:eastAsia="黑体" w:hAnsi="黑体" w:cs="黑体" w:hint="eastAsia"/>
          <w:b/>
          <w:bCs/>
          <w:sz w:val="36"/>
          <w:szCs w:val="36"/>
        </w:rPr>
        <w:t>征集工作的通知</w:t>
      </w:r>
    </w:p>
    <w:p w14:paraId="4085FEE3" w14:textId="77777777" w:rsidR="005B5AEE" w:rsidRDefault="005B5AEE">
      <w:pPr>
        <w:spacing w:after="0" w:line="560" w:lineRule="exact"/>
        <w:jc w:val="center"/>
        <w:rPr>
          <w:rFonts w:ascii="黑体" w:eastAsia="黑体" w:hAnsi="黑体" w:cs="黑体" w:hint="eastAsia"/>
          <w:b/>
          <w:bCs/>
          <w:sz w:val="36"/>
          <w:szCs w:val="36"/>
        </w:rPr>
      </w:pPr>
    </w:p>
    <w:p w14:paraId="010DEBD0" w14:textId="1D68B687" w:rsidR="00176EB1" w:rsidRDefault="00176EB1">
      <w:pPr>
        <w:spacing w:after="0" w:line="500" w:lineRule="exact"/>
        <w:jc w:val="center"/>
        <w:rPr>
          <w:rFonts w:ascii="黑体" w:eastAsia="黑体" w:hAnsi="黑体" w:cs="黑体"/>
          <w:sz w:val="36"/>
          <w:szCs w:val="36"/>
        </w:rPr>
      </w:pPr>
    </w:p>
    <w:p w14:paraId="0E1C33C7" w14:textId="77777777" w:rsidR="00176EB1" w:rsidRDefault="00A43F5B" w:rsidP="00EA1AC5">
      <w:pPr>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为深入贯彻《教育部办公厅 中央宣传部办公厅关于深入实施全国青少年学生读书行动的通知》（教基厅〔2025〕1号），持续推进中小学“书香校园”建设，结合教育部基教司《关于建立“书香校园”建设工作台账的通知》（教基司函〔2024〕41号）、全国基础教育管理服务平台“双月报”模块关于定期报送读书行动典型案例的要求，拟组织开展读书行动典型案例征集工作，相关事宜通知如下：</w:t>
      </w:r>
    </w:p>
    <w:p w14:paraId="6AFB0905" w14:textId="77777777" w:rsidR="00176EB1" w:rsidRDefault="00A43F5B" w:rsidP="00EA1AC5">
      <w:pPr>
        <w:numPr>
          <w:ilvl w:val="0"/>
          <w:numId w:val="1"/>
        </w:numPr>
        <w:spacing w:after="0" w:line="500" w:lineRule="exact"/>
        <w:ind w:left="68" w:firstLine="561"/>
        <w:rPr>
          <w:rFonts w:ascii="黑体" w:eastAsia="黑体" w:hAnsi="黑体" w:cs="黑体"/>
          <w:sz w:val="30"/>
          <w:szCs w:val="30"/>
        </w:rPr>
      </w:pPr>
      <w:r>
        <w:rPr>
          <w:rFonts w:ascii="黑体" w:eastAsia="黑体" w:hAnsi="黑体" w:cs="黑体" w:hint="eastAsia"/>
          <w:sz w:val="30"/>
          <w:szCs w:val="30"/>
        </w:rPr>
        <w:t>征集范围</w:t>
      </w:r>
    </w:p>
    <w:p w14:paraId="3B960535" w14:textId="77777777" w:rsidR="00176EB1" w:rsidRDefault="00A43F5B" w:rsidP="00EA1AC5">
      <w:pPr>
        <w:spacing w:after="0"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全市中小学校（含特殊教育学校）</w:t>
      </w:r>
    </w:p>
    <w:p w14:paraId="05529235" w14:textId="77777777" w:rsidR="00176EB1" w:rsidRDefault="00A43F5B" w:rsidP="00EA1AC5">
      <w:pPr>
        <w:numPr>
          <w:ilvl w:val="0"/>
          <w:numId w:val="1"/>
        </w:numPr>
        <w:spacing w:after="0" w:line="500" w:lineRule="exact"/>
        <w:ind w:left="68" w:firstLine="561"/>
        <w:rPr>
          <w:rFonts w:ascii="黑体" w:eastAsia="黑体" w:hAnsi="黑体" w:cs="黑体"/>
          <w:sz w:val="30"/>
          <w:szCs w:val="30"/>
        </w:rPr>
      </w:pPr>
      <w:r>
        <w:rPr>
          <w:rFonts w:ascii="黑体" w:eastAsia="黑体" w:hAnsi="黑体" w:cs="黑体" w:hint="eastAsia"/>
          <w:sz w:val="30"/>
          <w:szCs w:val="30"/>
        </w:rPr>
        <w:t>征集要求</w:t>
      </w:r>
    </w:p>
    <w:p w14:paraId="4BBFA776" w14:textId="43E4E231" w:rsidR="00176EB1" w:rsidRDefault="00A43F5B" w:rsidP="005B5AEE">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参照《上海市中小学书香校园建设指南（2025版</w:t>
      </w:r>
      <w:r w:rsidR="00150FFD" w:rsidRPr="00150FFD">
        <w:rPr>
          <w:rFonts w:ascii="仿宋_GB2312" w:eastAsia="仿宋_GB2312" w:hAnsi="仿宋_GB2312" w:cs="仿宋_GB2312" w:hint="eastAsia"/>
          <w:sz w:val="30"/>
          <w:szCs w:val="30"/>
        </w:rPr>
        <w:t>试行稿</w:t>
      </w:r>
      <w:r>
        <w:rPr>
          <w:rFonts w:ascii="仿宋_GB2312" w:eastAsia="仿宋_GB2312" w:hAnsi="仿宋_GB2312" w:cs="仿宋_GB2312" w:hint="eastAsia"/>
          <w:sz w:val="30"/>
          <w:szCs w:val="30"/>
        </w:rPr>
        <w:t>）》（以下简称《建设指南》，附件1）要求，包括但不限于：从阅读理念引领、学校环境资源建设、阅读氛围营造、融入教育教学、阅读活动开展、数智技术赋能、家校社协同、教师阅读指导能力发展、学生阅读素养提升、阅读条件保障等维度切入征集“读书行动”案例。</w:t>
      </w:r>
    </w:p>
    <w:p w14:paraId="12883A27" w14:textId="77777777" w:rsidR="00176EB1" w:rsidRDefault="00A43F5B" w:rsidP="00EA1AC5">
      <w:pPr>
        <w:widowControl/>
        <w:numPr>
          <w:ilvl w:val="0"/>
          <w:numId w:val="2"/>
        </w:numPr>
        <w:spacing w:after="0" w:line="500" w:lineRule="exact"/>
        <w:ind w:firstLineChars="200" w:firstLine="602"/>
        <w:rPr>
          <w:rFonts w:ascii="仿宋" w:eastAsia="仿宋" w:hAnsi="仿宋"/>
          <w:b/>
          <w:bCs/>
          <w:sz w:val="30"/>
          <w:szCs w:val="30"/>
        </w:rPr>
      </w:pPr>
      <w:r>
        <w:rPr>
          <w:rFonts w:ascii="仿宋" w:eastAsia="仿宋" w:hAnsi="仿宋" w:hint="eastAsia"/>
          <w:b/>
          <w:bCs/>
          <w:sz w:val="30"/>
          <w:szCs w:val="30"/>
        </w:rPr>
        <w:t>内容要求</w:t>
      </w:r>
    </w:p>
    <w:p w14:paraId="0F2BAD4F" w14:textId="77777777" w:rsidR="00176EB1" w:rsidRDefault="00A43F5B" w:rsidP="00EA1AC5">
      <w:pPr>
        <w:widowControl/>
        <w:spacing w:after="0" w:line="500" w:lineRule="exact"/>
        <w:rPr>
          <w:rFonts w:ascii="仿宋_GB2312" w:eastAsia="仿宋_GB2312" w:hAnsi="仿宋_GB2312" w:cs="仿宋_GB2312"/>
          <w:sz w:val="30"/>
          <w:szCs w:val="30"/>
        </w:rPr>
      </w:pPr>
      <w:r>
        <w:rPr>
          <w:rFonts w:ascii="仿宋" w:eastAsia="仿宋" w:hAnsi="仿宋" w:hint="eastAsia"/>
          <w:sz w:val="30"/>
          <w:szCs w:val="30"/>
        </w:rPr>
        <w:t xml:space="preserve">    </w:t>
      </w:r>
      <w:r>
        <w:rPr>
          <w:rFonts w:ascii="仿宋_GB2312" w:eastAsia="仿宋_GB2312" w:hAnsi="仿宋_GB2312" w:cs="仿宋_GB2312" w:hint="eastAsia"/>
          <w:sz w:val="30"/>
          <w:szCs w:val="30"/>
        </w:rPr>
        <w:t>案例应聚焦学校发展内涵，体现阅读作为立德树人的重要组成部分，融入学校教育教学和校园文化建设。学校因地制宜开展形式多样、内容丰富的读书活动，以学生喜闻乐见的方式增强读书活动的吸引力和感染力，激发学生的阅读兴趣，积极推进“书香校园”建设，对照《建设指南》在某个方面创新突破或者在多</w:t>
      </w:r>
      <w:r>
        <w:rPr>
          <w:rFonts w:ascii="仿宋_GB2312" w:eastAsia="仿宋_GB2312" w:hAnsi="仿宋_GB2312" w:cs="仿宋_GB2312" w:hint="eastAsia"/>
          <w:sz w:val="30"/>
          <w:szCs w:val="30"/>
        </w:rPr>
        <w:lastRenderedPageBreak/>
        <w:t>个方面取得实效，将相关经验以读书行动典型案例的形式加以总结提炼。</w:t>
      </w:r>
    </w:p>
    <w:p w14:paraId="19A45996" w14:textId="77777777" w:rsidR="00176EB1" w:rsidRDefault="00A43F5B" w:rsidP="00EA1AC5">
      <w:pPr>
        <w:widowControl/>
        <w:numPr>
          <w:ilvl w:val="0"/>
          <w:numId w:val="2"/>
        </w:numPr>
        <w:spacing w:after="0" w:line="500" w:lineRule="exact"/>
        <w:ind w:firstLineChars="200" w:firstLine="602"/>
        <w:rPr>
          <w:rFonts w:ascii="仿宋" w:eastAsia="仿宋" w:hAnsi="仿宋" w:cs="仿宋_GB2312"/>
          <w:b/>
          <w:bCs/>
          <w:kern w:val="0"/>
          <w:sz w:val="30"/>
          <w:szCs w:val="30"/>
        </w:rPr>
      </w:pPr>
      <w:r>
        <w:rPr>
          <w:rFonts w:ascii="仿宋" w:eastAsia="仿宋" w:hAnsi="仿宋" w:cs="仿宋_GB2312" w:hint="eastAsia"/>
          <w:b/>
          <w:bCs/>
          <w:kern w:val="0"/>
          <w:sz w:val="30"/>
          <w:szCs w:val="30"/>
        </w:rPr>
        <w:t>案例要素</w:t>
      </w:r>
    </w:p>
    <w:p w14:paraId="510D9793" w14:textId="77777777" w:rsidR="00176EB1" w:rsidRDefault="00A43F5B" w:rsidP="00EA1AC5">
      <w:pPr>
        <w:widowControl/>
        <w:spacing w:after="0" w:line="500" w:lineRule="exact"/>
        <w:ind w:firstLineChars="200" w:firstLine="602"/>
        <w:rPr>
          <w:rFonts w:ascii="仿宋" w:eastAsia="仿宋" w:hAnsi="仿宋" w:cs="仿宋_GB2312"/>
          <w:b/>
          <w:bCs/>
          <w:kern w:val="0"/>
          <w:sz w:val="30"/>
          <w:szCs w:val="30"/>
        </w:rPr>
      </w:pPr>
      <w:r>
        <w:rPr>
          <w:rFonts w:ascii="仿宋" w:eastAsia="仿宋" w:hAnsi="仿宋" w:cs="仿宋_GB2312" w:hint="eastAsia"/>
          <w:b/>
          <w:bCs/>
          <w:kern w:val="0"/>
          <w:sz w:val="30"/>
          <w:szCs w:val="30"/>
        </w:rPr>
        <w:t>案例可以包含以下几方面要素：</w:t>
      </w:r>
    </w:p>
    <w:p w14:paraId="117CB234"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1.学校概况：学校的基本情况，如：办学规模、办学历史、校园文化、办学特色和图书馆概况等。</w:t>
      </w:r>
    </w:p>
    <w:p w14:paraId="77CD3986"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2.建设理念：阐述学校推进读书行动的理念与设计，并说明该理念如何与学校的办学特色、育人目标相结合。</w:t>
      </w:r>
    </w:p>
    <w:p w14:paraId="1724B235"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3.特色亮点：对照《建设指南》，介绍本校的特色与亮点。</w:t>
      </w:r>
    </w:p>
    <w:p w14:paraId="75D55DB6"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工作成效:用数据或实例证明在实施书香校园建设过程中学校已经出台的“实招”，如：每周开设1-2周阅读课，在时间上、空间上保障学生每天在校有固定读书时间，提供有品质的“大阅读”课后服务，学生、家长和社会较好的满意度等。</w:t>
      </w:r>
    </w:p>
    <w:p w14:paraId="157913BE"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5.工作展望：分析推进过程中尚需努力的方面，探讨优化建议等。</w:t>
      </w:r>
    </w:p>
    <w:p w14:paraId="60F726FB" w14:textId="77777777" w:rsidR="00176EB1" w:rsidRDefault="00A43F5B" w:rsidP="00EA1AC5">
      <w:pPr>
        <w:widowControl/>
        <w:spacing w:after="0" w:line="500" w:lineRule="exact"/>
        <w:ind w:firstLineChars="200" w:firstLine="602"/>
        <w:rPr>
          <w:rFonts w:ascii="仿宋" w:eastAsia="仿宋" w:hAnsi="仿宋" w:cs="仿宋_GB2312"/>
          <w:b/>
          <w:bCs/>
          <w:kern w:val="0"/>
          <w:sz w:val="30"/>
          <w:szCs w:val="30"/>
        </w:rPr>
      </w:pPr>
      <w:r>
        <w:rPr>
          <w:rFonts w:ascii="仿宋" w:eastAsia="仿宋" w:hAnsi="仿宋" w:cs="仿宋_GB2312" w:hint="eastAsia"/>
          <w:b/>
          <w:bCs/>
          <w:kern w:val="0"/>
          <w:sz w:val="30"/>
          <w:szCs w:val="30"/>
        </w:rPr>
        <w:t>（三）格式体例</w:t>
      </w:r>
    </w:p>
    <w:p w14:paraId="049F458D"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每篇案例标题自拟，篇幅一般不超过3000字，可以提供相关图片佐证。标题字体为宋体3号，加粗，居中；正文字体为宋体4号，行距1.5倍。图片（如提供）要求清晰、明亮、构图美观、突出重点，能体现案例主要内容，分辨率高，大小在1M以上；图片文件命名格式为“学校+照片内容”。每个案例创建一个文件夹，包括文图资料合成稿、图片原稿等。</w:t>
      </w:r>
    </w:p>
    <w:p w14:paraId="6D3BE7F2" w14:textId="77777777" w:rsidR="00176EB1" w:rsidRDefault="00A43F5B" w:rsidP="00EA1AC5">
      <w:pPr>
        <w:widowControl/>
        <w:numPr>
          <w:ilvl w:val="0"/>
          <w:numId w:val="1"/>
        </w:numPr>
        <w:spacing w:after="0" w:line="500" w:lineRule="exact"/>
        <w:ind w:left="68" w:firstLine="561"/>
        <w:rPr>
          <w:rFonts w:ascii="黑体" w:eastAsia="黑体" w:hAnsi="黑体" w:cs="黑体"/>
          <w:sz w:val="30"/>
          <w:szCs w:val="30"/>
        </w:rPr>
      </w:pPr>
      <w:r>
        <w:rPr>
          <w:rFonts w:ascii="黑体" w:eastAsia="黑体" w:hAnsi="黑体" w:cs="黑体" w:hint="eastAsia"/>
          <w:sz w:val="30"/>
          <w:szCs w:val="30"/>
        </w:rPr>
        <w:t>征集组织</w:t>
      </w:r>
    </w:p>
    <w:p w14:paraId="2E3E11D2" w14:textId="3EC65456"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各区教育局会同本区中小学图工委指导区内中小学校</w:t>
      </w:r>
      <w:r w:rsidR="00B31123">
        <w:rPr>
          <w:rFonts w:ascii="仿宋_GB2312" w:eastAsia="仿宋_GB2312" w:hAnsi="仿宋_GB2312" w:cs="仿宋_GB2312" w:hint="eastAsia"/>
          <w:sz w:val="30"/>
          <w:szCs w:val="30"/>
        </w:rPr>
        <w:t>自愿</w:t>
      </w:r>
      <w:r>
        <w:rPr>
          <w:rFonts w:ascii="仿宋_GB2312" w:eastAsia="仿宋_GB2312" w:hAnsi="仿宋_GB2312" w:cs="仿宋_GB2312" w:hint="eastAsia"/>
          <w:sz w:val="30"/>
          <w:szCs w:val="30"/>
        </w:rPr>
        <w:t>参与读书行动典型案例征集，经区级推荐后统一报送。对相关入选的典型案例适时在全市层面组织展示和宣传推广，向教育部推介。</w:t>
      </w:r>
    </w:p>
    <w:p w14:paraId="5D46F62E" w14:textId="2D45F1CF" w:rsidR="00176EB1" w:rsidRDefault="005B5AEE" w:rsidP="00EA1AC5">
      <w:pPr>
        <w:widowControl/>
        <w:numPr>
          <w:ilvl w:val="0"/>
          <w:numId w:val="1"/>
        </w:numPr>
        <w:spacing w:after="0" w:line="500" w:lineRule="exact"/>
        <w:ind w:left="68" w:firstLine="561"/>
        <w:rPr>
          <w:rFonts w:ascii="黑体" w:eastAsia="黑体" w:hAnsi="黑体" w:cs="黑体"/>
          <w:sz w:val="30"/>
          <w:szCs w:val="30"/>
        </w:rPr>
      </w:pPr>
      <w:r>
        <w:rPr>
          <w:rFonts w:ascii="黑体" w:eastAsia="黑体" w:hAnsi="黑体" w:cs="黑体" w:hint="eastAsia"/>
          <w:sz w:val="30"/>
          <w:szCs w:val="30"/>
        </w:rPr>
        <w:lastRenderedPageBreak/>
        <w:t>申报步骤</w:t>
      </w:r>
    </w:p>
    <w:p w14:paraId="065F17E9" w14:textId="599E2C40" w:rsidR="00176EB1" w:rsidRDefault="00A43F5B" w:rsidP="00EA1AC5">
      <w:pPr>
        <w:pStyle w:val="a3"/>
        <w:spacing w:after="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1.学校提交</w:t>
      </w:r>
    </w:p>
    <w:p w14:paraId="0924E6EB"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对照《建设指南》相关要求，条件成熟的中小学校可在规定时间内向区中小学图工委提交案例材料。</w:t>
      </w:r>
    </w:p>
    <w:p w14:paraId="67BB6B5C" w14:textId="6F5A53AF" w:rsidR="00176EB1" w:rsidRDefault="00A43F5B" w:rsidP="00EA1AC5">
      <w:pPr>
        <w:widowControl/>
        <w:spacing w:after="0" w:line="500" w:lineRule="exact"/>
        <w:ind w:firstLine="641"/>
        <w:rPr>
          <w:rFonts w:ascii="仿宋_GB2312" w:eastAsia="仿宋_GB2312" w:hAnsi="仿宋_GB2312" w:cs="仿宋_GB2312"/>
          <w:sz w:val="30"/>
          <w:szCs w:val="30"/>
        </w:rPr>
      </w:pPr>
      <w:r>
        <w:rPr>
          <w:rFonts w:ascii="仿宋_GB2312" w:eastAsia="仿宋_GB2312" w:hAnsi="仿宋_GB2312" w:cs="仿宋_GB2312" w:hint="eastAsia"/>
          <w:sz w:val="30"/>
          <w:szCs w:val="30"/>
        </w:rPr>
        <w:t>2.区级推荐</w:t>
      </w:r>
    </w:p>
    <w:p w14:paraId="1C1285C9" w14:textId="77495755" w:rsidR="00176EB1" w:rsidRDefault="00A43F5B" w:rsidP="00EA1AC5">
      <w:pPr>
        <w:spacing w:after="0" w:line="500" w:lineRule="exact"/>
        <w:ind w:right="267"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区中小学图工委参照《建设指南》，组织推荐学校案例。</w:t>
      </w:r>
    </w:p>
    <w:p w14:paraId="0DA32FF0" w14:textId="53A85455" w:rsidR="00176EB1" w:rsidRDefault="00A43F5B" w:rsidP="00EA1AC5">
      <w:pPr>
        <w:widowControl/>
        <w:spacing w:after="0" w:line="500" w:lineRule="exact"/>
        <w:ind w:firstLine="641"/>
        <w:rPr>
          <w:rFonts w:ascii="仿宋_GB2312" w:eastAsia="仿宋_GB2312" w:hAnsi="仿宋_GB2312" w:cs="仿宋_GB2312"/>
          <w:sz w:val="30"/>
          <w:szCs w:val="30"/>
        </w:rPr>
      </w:pPr>
      <w:r>
        <w:rPr>
          <w:rFonts w:ascii="仿宋_GB2312" w:eastAsia="仿宋_GB2312" w:hAnsi="仿宋_GB2312" w:cs="仿宋_GB2312" w:hint="eastAsia"/>
          <w:sz w:val="30"/>
          <w:szCs w:val="30"/>
        </w:rPr>
        <w:t>3.市级审读</w:t>
      </w:r>
    </w:p>
    <w:p w14:paraId="4872BB57" w14:textId="77777777"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市教委中小学图工委秘书处组织专家对各区推荐的“读书行动”典型案例开展审读工作，确有必要的择时组织实地调研观摩。</w:t>
      </w:r>
    </w:p>
    <w:p w14:paraId="7489D870" w14:textId="77777777" w:rsidR="00176EB1" w:rsidRDefault="00A43F5B" w:rsidP="00EA1AC5">
      <w:pPr>
        <w:widowControl/>
        <w:spacing w:after="0" w:line="500" w:lineRule="exact"/>
        <w:ind w:firstLine="640"/>
        <w:jc w:val="left"/>
        <w:rPr>
          <w:rFonts w:ascii="黑体" w:eastAsia="黑体" w:hAnsi="黑体" w:cs="黑体"/>
          <w:sz w:val="32"/>
          <w:szCs w:val="32"/>
        </w:rPr>
      </w:pPr>
      <w:r>
        <w:rPr>
          <w:rFonts w:ascii="黑体" w:eastAsia="黑体" w:hAnsi="黑体" w:cs="黑体" w:hint="eastAsia"/>
          <w:sz w:val="30"/>
          <w:szCs w:val="30"/>
        </w:rPr>
        <w:t>五、其他材料要求</w:t>
      </w:r>
    </w:p>
    <w:p w14:paraId="674126BD" w14:textId="5BF51BC3" w:rsidR="00176EB1" w:rsidRDefault="00A43F5B" w:rsidP="00EA1AC5">
      <w:pPr>
        <w:widowControl/>
        <w:spacing w:after="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w:t>
      </w:r>
      <w:r w:rsidR="005B5AEE">
        <w:rPr>
          <w:rFonts w:ascii="仿宋_GB2312" w:eastAsia="仿宋_GB2312" w:hAnsi="仿宋_GB2312" w:cs="仿宋_GB2312" w:hint="eastAsia"/>
          <w:sz w:val="30"/>
          <w:szCs w:val="30"/>
        </w:rPr>
        <w:t>（学校）</w:t>
      </w:r>
      <w:r>
        <w:rPr>
          <w:rFonts w:ascii="仿宋_GB2312" w:eastAsia="仿宋_GB2312" w:hAnsi="仿宋_GB2312" w:cs="仿宋_GB2312" w:hint="eastAsia"/>
          <w:sz w:val="30"/>
          <w:szCs w:val="30"/>
        </w:rPr>
        <w:t>应根据教育部推进“书香校园”工作的时间要求，制定2024-2027年区级书香校园建设规划表。</w:t>
      </w:r>
    </w:p>
    <w:p w14:paraId="497809C9" w14:textId="77777777" w:rsidR="00176EB1" w:rsidRDefault="00A43F5B" w:rsidP="00EA1AC5">
      <w:pPr>
        <w:widowControl/>
        <w:spacing w:after="0" w:line="500" w:lineRule="exact"/>
        <w:ind w:firstLineChars="200" w:firstLine="600"/>
        <w:jc w:val="left"/>
        <w:rPr>
          <w:rFonts w:ascii="黑体" w:eastAsia="黑体" w:hAnsi="黑体" w:cs="黑体"/>
          <w:sz w:val="32"/>
          <w:szCs w:val="32"/>
        </w:rPr>
      </w:pPr>
      <w:r>
        <w:rPr>
          <w:rFonts w:ascii="仿宋_GB2312" w:eastAsia="仿宋_GB2312" w:hAnsi="仿宋_GB2312" w:cs="仿宋_GB2312" w:hint="eastAsia"/>
          <w:sz w:val="30"/>
          <w:szCs w:val="30"/>
        </w:rPr>
        <w:t>附件：</w:t>
      </w:r>
    </w:p>
    <w:p w14:paraId="1D1C37CB" w14:textId="5C166D7B" w:rsidR="00176EB1" w:rsidRDefault="00A43F5B" w:rsidP="00EA1AC5">
      <w:pPr>
        <w:widowControl/>
        <w:spacing w:after="0" w:line="5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《上海市中小学书香校园建设指南（2025版</w:t>
      </w:r>
      <w:r w:rsidR="00150FFD">
        <w:rPr>
          <w:rFonts w:ascii="仿宋_GB2312" w:eastAsia="仿宋_GB2312" w:hAnsi="仿宋_GB2312" w:cs="仿宋_GB2312" w:hint="eastAsia"/>
          <w:sz w:val="30"/>
          <w:szCs w:val="30"/>
        </w:rPr>
        <w:t>试行稿</w:t>
      </w:r>
      <w:r>
        <w:rPr>
          <w:rFonts w:ascii="仿宋_GB2312" w:eastAsia="仿宋_GB2312" w:hAnsi="仿宋_GB2312" w:cs="仿宋_GB2312" w:hint="eastAsia"/>
          <w:sz w:val="30"/>
          <w:szCs w:val="30"/>
        </w:rPr>
        <w:t>）》</w:t>
      </w:r>
    </w:p>
    <w:p w14:paraId="0D1B9E42" w14:textId="77777777" w:rsidR="00176EB1" w:rsidRDefault="00176EB1" w:rsidP="00EA1AC5">
      <w:pPr>
        <w:spacing w:after="0" w:line="500" w:lineRule="exact"/>
        <w:ind w:rightChars="-219" w:right="-460" w:firstLineChars="300" w:firstLine="900"/>
        <w:rPr>
          <w:rFonts w:ascii="仿宋" w:eastAsia="仿宋" w:hAnsi="仿宋" w:cs="仿宋"/>
          <w:sz w:val="30"/>
          <w:szCs w:val="30"/>
        </w:rPr>
      </w:pPr>
    </w:p>
    <w:p w14:paraId="7793064A" w14:textId="77777777" w:rsidR="00176EB1" w:rsidRDefault="00A43F5B" w:rsidP="00EA1AC5">
      <w:pPr>
        <w:spacing w:after="0" w:line="500" w:lineRule="exact"/>
        <w:rPr>
          <w:rFonts w:ascii="仿宋" w:eastAsia="仿宋" w:hAnsi="仿宋" w:cs="仿宋"/>
          <w:sz w:val="30"/>
          <w:szCs w:val="30"/>
        </w:rPr>
      </w:pPr>
      <w:r>
        <w:rPr>
          <w:rFonts w:ascii="宋体" w:hAnsi="宋体" w:cs="宋体"/>
          <w:sz w:val="30"/>
          <w:szCs w:val="30"/>
        </w:rPr>
        <w:t xml:space="preserve"> </w:t>
      </w:r>
      <w:r>
        <w:rPr>
          <w:sz w:val="30"/>
          <w:szCs w:val="30"/>
        </w:rPr>
        <w:t xml:space="preserve">    </w:t>
      </w:r>
      <w:r>
        <w:rPr>
          <w:sz w:val="30"/>
          <w:szCs w:val="30"/>
        </w:rPr>
        <w:tab/>
      </w:r>
      <w:r>
        <w:rPr>
          <w:sz w:val="30"/>
          <w:szCs w:val="30"/>
        </w:rPr>
        <w:tab/>
      </w:r>
      <w:r>
        <w:rPr>
          <w:sz w:val="30"/>
          <w:szCs w:val="30"/>
        </w:rPr>
        <w:tab/>
      </w:r>
      <w:r>
        <w:rPr>
          <w:sz w:val="30"/>
          <w:szCs w:val="30"/>
        </w:rPr>
        <w:tab/>
      </w:r>
      <w:r>
        <w:rPr>
          <w:sz w:val="30"/>
          <w:szCs w:val="30"/>
        </w:rPr>
        <w:tab/>
      </w:r>
      <w:r>
        <w:rPr>
          <w:rFonts w:hint="eastAsia"/>
          <w:sz w:val="30"/>
          <w:szCs w:val="30"/>
        </w:rPr>
        <w:t xml:space="preserve">         </w:t>
      </w:r>
      <w:r>
        <w:rPr>
          <w:rFonts w:ascii="黑体" w:eastAsia="黑体" w:hAnsi="黑体"/>
          <w:sz w:val="30"/>
          <w:szCs w:val="30"/>
        </w:rPr>
        <w:t xml:space="preserve"> </w:t>
      </w:r>
      <w:r>
        <w:rPr>
          <w:rFonts w:ascii="黑体" w:eastAsia="黑体" w:hAnsi="黑体" w:hint="eastAsia"/>
          <w:sz w:val="30"/>
          <w:szCs w:val="30"/>
        </w:rPr>
        <w:t xml:space="preserve">    </w:t>
      </w:r>
      <w:r>
        <w:rPr>
          <w:rFonts w:ascii="仿宋" w:eastAsia="仿宋" w:hAnsi="仿宋" w:cs="仿宋" w:hint="eastAsia"/>
          <w:sz w:val="30"/>
          <w:szCs w:val="30"/>
        </w:rPr>
        <w:t>市教委中小学图工委秘书处</w:t>
      </w:r>
    </w:p>
    <w:p w14:paraId="5E654D8D" w14:textId="6372DC20" w:rsidR="00176EB1" w:rsidRDefault="00A43F5B" w:rsidP="00EA1AC5">
      <w:pPr>
        <w:spacing w:after="0" w:line="500" w:lineRule="exact"/>
        <w:ind w:firstLineChars="1750" w:firstLine="5250"/>
        <w:rPr>
          <w:rFonts w:ascii="黑体" w:eastAsia="黑体" w:hAnsi="黑体" w:cs="黑体"/>
          <w:sz w:val="32"/>
          <w:szCs w:val="32"/>
        </w:rPr>
      </w:pPr>
      <w:r>
        <w:rPr>
          <w:rFonts w:ascii="仿宋" w:eastAsia="仿宋" w:hAnsi="仿宋" w:cs="仿宋" w:hint="eastAsia"/>
          <w:sz w:val="30"/>
          <w:szCs w:val="30"/>
        </w:rPr>
        <w:t>2025年11月</w:t>
      </w:r>
      <w:r>
        <w:rPr>
          <w:rFonts w:ascii="黑体" w:eastAsia="黑体" w:hAnsi="黑体" w:cs="黑体" w:hint="eastAsia"/>
          <w:sz w:val="32"/>
          <w:szCs w:val="32"/>
        </w:rPr>
        <w:t xml:space="preserve">   </w:t>
      </w:r>
    </w:p>
    <w:p w14:paraId="6F5D000C" w14:textId="77777777" w:rsidR="00176EB1" w:rsidRDefault="00A43F5B">
      <w:pPr>
        <w:widowControl/>
        <w:spacing w:line="540" w:lineRule="exact"/>
        <w:jc w:val="left"/>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附件1</w:t>
      </w:r>
    </w:p>
    <w:p w14:paraId="5DD7C6CA" w14:textId="77777777" w:rsidR="00176EB1" w:rsidRPr="00EA1AC5" w:rsidRDefault="00A43F5B">
      <w:pPr>
        <w:spacing w:line="540" w:lineRule="exact"/>
        <w:jc w:val="center"/>
        <w:rPr>
          <w:rFonts w:ascii="黑体" w:eastAsia="黑体" w:hAnsi="黑体" w:cs="黑体"/>
          <w:b/>
          <w:bCs/>
          <w:sz w:val="36"/>
          <w:szCs w:val="36"/>
        </w:rPr>
      </w:pPr>
      <w:r w:rsidRPr="00EA1AC5">
        <w:rPr>
          <w:rFonts w:ascii="黑体" w:eastAsia="黑体" w:hAnsi="黑体" w:cs="黑体" w:hint="eastAsia"/>
          <w:b/>
          <w:bCs/>
          <w:sz w:val="36"/>
          <w:szCs w:val="36"/>
        </w:rPr>
        <w:t>上海市中小学书香校园建设指南</w:t>
      </w:r>
    </w:p>
    <w:p w14:paraId="39F22C18" w14:textId="4067D483" w:rsidR="00176EB1" w:rsidRPr="00EA1AC5" w:rsidRDefault="00A43F5B">
      <w:pPr>
        <w:spacing w:line="540" w:lineRule="exact"/>
        <w:jc w:val="center"/>
        <w:rPr>
          <w:rFonts w:ascii="仿宋" w:eastAsia="仿宋" w:hAnsi="仿宋" w:cs="仿宋"/>
          <w:sz w:val="30"/>
          <w:szCs w:val="30"/>
        </w:rPr>
      </w:pPr>
      <w:r w:rsidRPr="00EA1AC5">
        <w:rPr>
          <w:rFonts w:ascii="仿宋" w:eastAsia="仿宋" w:hAnsi="仿宋" w:cs="仿宋" w:hint="eastAsia"/>
          <w:sz w:val="30"/>
          <w:szCs w:val="30"/>
        </w:rPr>
        <w:t>（2025版</w:t>
      </w:r>
      <w:r w:rsidR="00EA1AC5" w:rsidRPr="00EA1AC5">
        <w:rPr>
          <w:rFonts w:ascii="仿宋" w:eastAsia="仿宋" w:hAnsi="仿宋" w:cs="仿宋" w:hint="eastAsia"/>
          <w:sz w:val="30"/>
          <w:szCs w:val="30"/>
        </w:rPr>
        <w:t>试行稿</w:t>
      </w:r>
      <w:r w:rsidRPr="00EA1AC5">
        <w:rPr>
          <w:rFonts w:ascii="仿宋" w:eastAsia="仿宋" w:hAnsi="仿宋" w:cs="仿宋" w:hint="eastAsia"/>
          <w:sz w:val="30"/>
          <w:szCs w:val="30"/>
        </w:rPr>
        <w:t>）</w:t>
      </w:r>
    </w:p>
    <w:p w14:paraId="1A926019" w14:textId="7C6AFF88"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为指引本市中小学校深入开展书香校园建设，根据教育部等八部门关于印发《全国青少年学生读书行动实施方案》的通知（</w:t>
      </w:r>
      <w:r>
        <w:rPr>
          <w:rFonts w:ascii="仿宋" w:eastAsia="仿宋" w:hAnsi="仿宋" w:cs="仿宋"/>
          <w:sz w:val="30"/>
          <w:szCs w:val="30"/>
        </w:rPr>
        <w:t>教基〔2023〕1 号</w:t>
      </w:r>
      <w:r>
        <w:rPr>
          <w:rFonts w:ascii="仿宋" w:eastAsia="仿宋" w:hAnsi="仿宋" w:cs="仿宋" w:hint="eastAsia"/>
          <w:sz w:val="30"/>
          <w:szCs w:val="30"/>
        </w:rPr>
        <w:t>）、《</w:t>
      </w:r>
      <w:r>
        <w:rPr>
          <w:rFonts w:ascii="仿宋" w:eastAsia="仿宋" w:hAnsi="仿宋" w:cs="仿宋"/>
          <w:sz w:val="30"/>
          <w:szCs w:val="30"/>
        </w:rPr>
        <w:t>教育部办公厅 中央宣传部办公厅关于深入实施全国青少年学生读书行动的通知</w:t>
      </w:r>
      <w:r>
        <w:rPr>
          <w:rFonts w:ascii="仿宋" w:eastAsia="仿宋" w:hAnsi="仿宋" w:cs="仿宋" w:hint="eastAsia"/>
          <w:sz w:val="30"/>
          <w:szCs w:val="30"/>
        </w:rPr>
        <w:t>》（</w:t>
      </w:r>
      <w:r>
        <w:rPr>
          <w:rFonts w:ascii="仿宋" w:eastAsia="仿宋" w:hAnsi="仿宋" w:cs="仿宋"/>
          <w:sz w:val="30"/>
          <w:szCs w:val="30"/>
        </w:rPr>
        <w:t>教基</w:t>
      </w:r>
      <w:r>
        <w:rPr>
          <w:rFonts w:ascii="仿宋" w:eastAsia="仿宋" w:hAnsi="仿宋" w:cs="仿宋" w:hint="eastAsia"/>
          <w:sz w:val="30"/>
          <w:szCs w:val="30"/>
        </w:rPr>
        <w:t>厅</w:t>
      </w:r>
      <w:r>
        <w:rPr>
          <w:rFonts w:ascii="仿宋" w:eastAsia="仿宋" w:hAnsi="仿宋" w:cs="仿宋"/>
          <w:sz w:val="30"/>
          <w:szCs w:val="30"/>
        </w:rPr>
        <w:t>〔202</w:t>
      </w:r>
      <w:r>
        <w:rPr>
          <w:rFonts w:ascii="仿宋" w:eastAsia="仿宋" w:hAnsi="仿宋" w:cs="仿宋" w:hint="eastAsia"/>
          <w:sz w:val="30"/>
          <w:szCs w:val="30"/>
        </w:rPr>
        <w:t>5</w:t>
      </w:r>
      <w:r>
        <w:rPr>
          <w:rFonts w:ascii="仿宋" w:eastAsia="仿宋" w:hAnsi="仿宋" w:cs="仿宋"/>
          <w:sz w:val="30"/>
          <w:szCs w:val="30"/>
        </w:rPr>
        <w:t>〕1号</w:t>
      </w:r>
      <w:r>
        <w:rPr>
          <w:rFonts w:ascii="仿宋" w:eastAsia="仿宋" w:hAnsi="仿宋" w:cs="仿宋" w:hint="eastAsia"/>
          <w:sz w:val="30"/>
          <w:szCs w:val="30"/>
        </w:rPr>
        <w:t>），结合上海实践基础和教育强市建设要求，特制定本指南。</w:t>
      </w:r>
    </w:p>
    <w:p w14:paraId="7C7D6E94"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本市每一所中小学校都应当以本指南为参照，建设成为“将阅读融入办学目标，阅读资源优质，阅读氛围浓厚，阅读活动丰富，阅读指导机制健全，学生具有良好阅读素养”的书香校园。具体包括10个方面工作指引，分别为：融入办学的阅读理念、优质丰富的阅读资源、泛在浓厚的阅读氛围、全育浸润的阅读活动、融入教学的阅读指导、数智赋能的阅读生态、家校社协同的阅读育人、知行合一的阅读成果、爱读书会读书的阅读素养、坚实高效的阅读保障。</w:t>
      </w:r>
    </w:p>
    <w:p w14:paraId="73081940"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指引1：深化融入办学的阅读理念</w:t>
      </w:r>
    </w:p>
    <w:p w14:paraId="18BDA543"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坚持将阅读作为立德树人的重要组成部分，融入学校教育教学和校园文化建设。结合学校办学特色，精准定位、准确凝练“书香校园”建设的理念与目标。</w:t>
      </w:r>
      <w:r>
        <w:rPr>
          <w:rFonts w:ascii="仿宋" w:eastAsia="仿宋" w:hAnsi="仿宋" w:cs="仿宋"/>
          <w:sz w:val="30"/>
          <w:szCs w:val="30"/>
        </w:rPr>
        <w:t>制定明确的读书行动实施方案</w:t>
      </w:r>
      <w:r>
        <w:rPr>
          <w:rFonts w:ascii="仿宋" w:eastAsia="仿宋" w:hAnsi="仿宋" w:cs="仿宋" w:hint="eastAsia"/>
          <w:sz w:val="30"/>
          <w:szCs w:val="30"/>
        </w:rPr>
        <w:t>和“书香校园”建设工作规划，并与学校办学理念与目标呼应协调。</w:t>
      </w:r>
    </w:p>
    <w:p w14:paraId="3E79BC4E"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指引2：建设优质丰富的阅读资源</w:t>
      </w:r>
    </w:p>
    <w:p w14:paraId="5F39C251"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加强学校图书馆建设，场馆设施符合相关装备指南的要求。按照中小学图书馆规程规定的要求和数量，以及教育主管部门推</w:t>
      </w:r>
      <w:r>
        <w:rPr>
          <w:rFonts w:ascii="仿宋" w:eastAsia="仿宋" w:hAnsi="仿宋" w:cs="仿宋" w:hint="eastAsia"/>
          <w:sz w:val="30"/>
          <w:szCs w:val="30"/>
        </w:rPr>
        <w:lastRenderedPageBreak/>
        <w:t>荐的书目，</w:t>
      </w:r>
      <w:r>
        <w:rPr>
          <w:rFonts w:ascii="仿宋" w:eastAsia="仿宋" w:hAnsi="仿宋" w:cs="仿宋"/>
          <w:sz w:val="30"/>
          <w:szCs w:val="30"/>
        </w:rPr>
        <w:t>丰富图书配备，改善阅读条件，</w:t>
      </w:r>
      <w:r>
        <w:rPr>
          <w:rFonts w:ascii="仿宋" w:eastAsia="仿宋" w:hAnsi="仿宋" w:cs="仿宋" w:hint="eastAsia"/>
          <w:sz w:val="30"/>
          <w:szCs w:val="30"/>
        </w:rPr>
        <w:t>保障师生阅读需要。</w:t>
      </w:r>
    </w:p>
    <w:p w14:paraId="45E0904A"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提</w:t>
      </w:r>
      <w:r>
        <w:rPr>
          <w:rFonts w:ascii="仿宋" w:eastAsia="仿宋" w:hAnsi="仿宋" w:cs="仿宋"/>
          <w:sz w:val="30"/>
          <w:szCs w:val="30"/>
        </w:rPr>
        <w:t>高图书利用率和师生借阅量</w:t>
      </w:r>
      <w:r>
        <w:rPr>
          <w:rFonts w:ascii="仿宋" w:eastAsia="仿宋" w:hAnsi="仿宋" w:cs="仿宋" w:hint="eastAsia"/>
          <w:sz w:val="30"/>
          <w:szCs w:val="30"/>
        </w:rPr>
        <w:t>，提升阅读资源服务质量。开展新生入馆和图书馆资源利用教育，针对教师教学和科研需求收集、整理、推介阅读资源。</w:t>
      </w:r>
    </w:p>
    <w:p w14:paraId="530C522E"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指引3：营造泛在浓厚的阅读氛围</w:t>
      </w:r>
    </w:p>
    <w:p w14:paraId="1AB98CC0"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多方位打造师生阅读空间，充分利用教室、走廊、门厅等空间设置读书角、放置图书架、</w:t>
      </w:r>
      <w:r>
        <w:rPr>
          <w:rFonts w:ascii="仿宋" w:eastAsia="仿宋" w:hAnsi="仿宋" w:cs="仿宋"/>
          <w:sz w:val="30"/>
          <w:szCs w:val="30"/>
        </w:rPr>
        <w:t>开设书报亭</w:t>
      </w:r>
      <w:r>
        <w:rPr>
          <w:rFonts w:ascii="仿宋" w:eastAsia="仿宋" w:hAnsi="仿宋" w:cs="仿宋" w:hint="eastAsia"/>
          <w:sz w:val="30"/>
          <w:szCs w:val="30"/>
        </w:rPr>
        <w:t>、设立图书借阅点，形成便于师生即时阅读、处处可读的“悦读</w:t>
      </w:r>
      <w:r>
        <w:rPr>
          <w:rFonts w:ascii="仿宋" w:eastAsia="仿宋" w:hAnsi="仿宋" w:cs="仿宋"/>
          <w:sz w:val="30"/>
          <w:szCs w:val="30"/>
        </w:rPr>
        <w:t>”</w:t>
      </w:r>
      <w:r>
        <w:rPr>
          <w:rFonts w:ascii="仿宋" w:eastAsia="仿宋" w:hAnsi="仿宋" w:cs="仿宋" w:hint="eastAsia"/>
          <w:sz w:val="30"/>
          <w:szCs w:val="30"/>
        </w:rPr>
        <w:t xml:space="preserve">环境。               </w:t>
      </w:r>
    </w:p>
    <w:p w14:paraId="5B5953A7"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加强对创新实施青少年学生读书行动特色路径、有效经验的宣传推广。充分利用宣传栏、文化墙、校园网、校园广播、公众号、视频号、校报校刊等，加强阅读宣传推介和阅读活动报道，</w:t>
      </w:r>
      <w:r>
        <w:rPr>
          <w:rFonts w:ascii="仿宋" w:eastAsia="仿宋" w:hAnsi="仿宋" w:cs="仿宋"/>
          <w:sz w:val="30"/>
          <w:szCs w:val="30"/>
        </w:rPr>
        <w:t>营造良好读书氛围，加强校园读书文化建设。</w:t>
      </w:r>
    </w:p>
    <w:p w14:paraId="0CEB0676"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深入开展“每天阅读一小时”“周末阅享半日”行动，保障学生每天在校有固定读书时间，每周末利用半天时间自主沉浸式阅读，让阅读成为常态。义务教育学校将读书行动纳入“双减”工作，严格控制书面作业总量，为学生阅读创造条件，在课后服务中开设阅读活动项目。高中学校增加学生校内阅读时间，结合学科教学重视“整本书”阅读。</w:t>
      </w:r>
    </w:p>
    <w:p w14:paraId="2F6399B6"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指引4：丰富全育浸润的阅读活动</w:t>
      </w:r>
    </w:p>
    <w:p w14:paraId="1B0CA17A"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根据教育主管部门要求，深入开展 “学习新思想 做好接班人”“学科学 爱科学”“典耀中华”“读经典 我思考”“书香同行 阅读青春”等主题阅读行动。根据本校书香校园建设理念与目标，积极组织校本特色主题阅读活动。分层级、分主题，以班级、年级、全校为单位，定期开展学生阅读交流展示活动。加强学生阅读社团建设，拓展阅读平台，创新活动形式，强化师资</w:t>
      </w:r>
      <w:r>
        <w:rPr>
          <w:rFonts w:ascii="仿宋" w:eastAsia="仿宋" w:hAnsi="仿宋" w:cs="仿宋" w:hint="eastAsia"/>
          <w:sz w:val="30"/>
          <w:szCs w:val="30"/>
        </w:rPr>
        <w:lastRenderedPageBreak/>
        <w:t>保障。</w:t>
      </w:r>
      <w:r>
        <w:rPr>
          <w:rFonts w:ascii="仿宋" w:eastAsia="仿宋" w:hAnsi="仿宋" w:cs="仿宋"/>
          <w:sz w:val="30"/>
          <w:szCs w:val="30"/>
        </w:rPr>
        <w:t>打破传统被动的“任务式阅读”，不断提升学生参与</w:t>
      </w:r>
      <w:r>
        <w:rPr>
          <w:rFonts w:ascii="仿宋" w:eastAsia="仿宋" w:hAnsi="仿宋" w:cs="仿宋" w:hint="eastAsia"/>
          <w:sz w:val="30"/>
          <w:szCs w:val="30"/>
        </w:rPr>
        <w:t>各级各类</w:t>
      </w:r>
      <w:r>
        <w:rPr>
          <w:rFonts w:ascii="仿宋" w:eastAsia="仿宋" w:hAnsi="仿宋" w:cs="仿宋"/>
          <w:sz w:val="30"/>
          <w:szCs w:val="30"/>
        </w:rPr>
        <w:t>阅读</w:t>
      </w:r>
      <w:r>
        <w:rPr>
          <w:rFonts w:ascii="仿宋" w:eastAsia="仿宋" w:hAnsi="仿宋" w:cs="仿宋" w:hint="eastAsia"/>
          <w:sz w:val="30"/>
          <w:szCs w:val="30"/>
        </w:rPr>
        <w:t>活动</w:t>
      </w:r>
      <w:r>
        <w:rPr>
          <w:rFonts w:ascii="仿宋" w:eastAsia="仿宋" w:hAnsi="仿宋" w:cs="仿宋"/>
          <w:sz w:val="30"/>
          <w:szCs w:val="30"/>
        </w:rPr>
        <w:t>的主动性。</w:t>
      </w:r>
    </w:p>
    <w:p w14:paraId="4E9B8E4D"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指引5：健全大阅读指导机制</w:t>
      </w:r>
    </w:p>
    <w:p w14:paraId="40AEF6AA"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与学科教学相结合，高质量开展全科阅读，扎实推进“整本书阅读”和沉浸式阅读。因地制宜开好阅读指导课。每周开设1—2节阅读课，打造精品阅读课程，开展跨学科主题教学，提供“大阅读”课后服务。</w:t>
      </w:r>
    </w:p>
    <w:p w14:paraId="1339B7AB"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sz w:val="30"/>
          <w:szCs w:val="30"/>
        </w:rPr>
        <w:t>充分发挥校长、教师示范引领作用，倡导校长、教师率先读书，形成“校长引领教师读书、教师引领学生读书”的良好氛围。创新开展</w:t>
      </w:r>
      <w:r>
        <w:rPr>
          <w:rFonts w:ascii="仿宋" w:eastAsia="仿宋" w:hAnsi="仿宋" w:cs="仿宋" w:hint="eastAsia"/>
          <w:sz w:val="30"/>
          <w:szCs w:val="30"/>
        </w:rPr>
        <w:t>阅读周、读书节等</w:t>
      </w:r>
      <w:r>
        <w:rPr>
          <w:rFonts w:ascii="仿宋" w:eastAsia="仿宋" w:hAnsi="仿宋" w:cs="仿宋"/>
          <w:sz w:val="30"/>
          <w:szCs w:val="30"/>
        </w:rPr>
        <w:t>活动，广泛邀请名师大家荐书领读，</w:t>
      </w:r>
      <w:r>
        <w:rPr>
          <w:rFonts w:ascii="仿宋" w:eastAsia="仿宋" w:hAnsi="仿宋" w:cs="仿宋" w:hint="eastAsia"/>
          <w:sz w:val="30"/>
          <w:szCs w:val="30"/>
        </w:rPr>
        <w:t>积极建设</w:t>
      </w:r>
      <w:r>
        <w:rPr>
          <w:rFonts w:ascii="仿宋" w:eastAsia="仿宋" w:hAnsi="仿宋" w:cs="仿宋"/>
          <w:sz w:val="30"/>
          <w:szCs w:val="30"/>
        </w:rPr>
        <w:t>名师领读微课。</w:t>
      </w:r>
      <w:r>
        <w:rPr>
          <w:rFonts w:ascii="仿宋" w:eastAsia="仿宋" w:hAnsi="仿宋" w:cs="仿宋" w:hint="eastAsia"/>
          <w:sz w:val="30"/>
          <w:szCs w:val="30"/>
        </w:rPr>
        <w:t>积极开展“深度阅读工作坊”“思辨读写”，邀请知名作家、科学家、艺术家等名家名师作为“思辨导师”与学生交流读书心得，分享思考方法。</w:t>
      </w:r>
    </w:p>
    <w:p w14:paraId="2847E1C8"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加强阅读教研，在各学科教研活动中，加强针对不同学科特点的阅读教学与指导研究，探索学科阅读及跨学科融合阅读的指导范式与教学模式。将阅读指导能力纳入教师培训体系，提高教师在阅读课程设计、阅读内容把关、阅读策略供给、阅读指导、阅读评价、运用信息技术支持阅读等方面的专业素养，鼓励教师开展跨学科学习和阅读教研活动。</w:t>
      </w:r>
    </w:p>
    <w:p w14:paraId="68AD7425"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指引6：打造数智赋能的阅读生态</w:t>
      </w:r>
    </w:p>
    <w:p w14:paraId="614D9C03"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推动数字阅读和传统阅读相结合，进一步丰富阅读资源，为学生提供个性化的阅读空间，提升阅读的便捷性和连续性。构建“兴趣驱动—场景赋能—成果转化”三位一体阅读生态体系。积极探索应用“AI阅读助手”等，根据学生不同年龄、兴趣、基础及发展需求，遴选阅读主题与内容、分析阅读行为与习惯，实现</w:t>
      </w:r>
      <w:r>
        <w:rPr>
          <w:rFonts w:ascii="仿宋" w:eastAsia="仿宋" w:hAnsi="仿宋" w:cs="仿宋" w:hint="eastAsia"/>
          <w:sz w:val="30"/>
          <w:szCs w:val="30"/>
        </w:rPr>
        <w:lastRenderedPageBreak/>
        <w:t>个性化书目推荐、阅读分析报告生成等分析学生阅读表现，提高学生阅读效率和兴趣。</w:t>
      </w:r>
    </w:p>
    <w:p w14:paraId="7967007E"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指引7：构建家校社协同的阅读育人制度</w:t>
      </w:r>
    </w:p>
    <w:p w14:paraId="7F8AE711"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深入开展家庭亲子阅读活动，充分利用家委会、家长学校等平台，组织面向家长的阅读指导培训，探索家庭亲子阅读指导路径策略，帮助家长掌握科学的阅读指导方法，提高亲子阅读质量。</w:t>
      </w:r>
    </w:p>
    <w:p w14:paraId="0ECF7CC7" w14:textId="07CC3E60"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积极参与跨地跨校跨院的读书联动和分享活动，鼓励支持青少年学术分享阅读心得。深入实施</w:t>
      </w:r>
      <w:r w:rsidR="00E81BEB">
        <w:rPr>
          <w:rFonts w:ascii="仿宋" w:eastAsia="仿宋" w:hAnsi="仿宋" w:cs="仿宋" w:hint="eastAsia"/>
          <w:sz w:val="30"/>
          <w:szCs w:val="30"/>
        </w:rPr>
        <w:t>“</w:t>
      </w:r>
      <w:r>
        <w:rPr>
          <w:rFonts w:ascii="仿宋" w:eastAsia="仿宋" w:hAnsi="仿宋" w:cs="仿宋" w:hint="eastAsia"/>
          <w:sz w:val="30"/>
          <w:szCs w:val="30"/>
        </w:rPr>
        <w:t>青少年阅读大使项目</w:t>
      </w:r>
      <w:r w:rsidR="00E81BEB">
        <w:rPr>
          <w:rFonts w:ascii="仿宋" w:eastAsia="仿宋" w:hAnsi="仿宋" w:cs="仿宋" w:hint="eastAsia"/>
          <w:sz w:val="30"/>
          <w:szCs w:val="30"/>
        </w:rPr>
        <w:t>”</w:t>
      </w:r>
      <w:r>
        <w:rPr>
          <w:rFonts w:ascii="仿宋" w:eastAsia="仿宋" w:hAnsi="仿宋" w:cs="仿宋" w:hint="eastAsia"/>
          <w:sz w:val="30"/>
          <w:szCs w:val="30"/>
        </w:rPr>
        <w:t>，选拔热爱阅读的青少年作为阅读推广大使，在学校、社区、图书馆等公共场所举办读书分享会、故事会和朗读活动，发挥榜样示范作用，激励更多公众参与阅读。</w:t>
      </w:r>
    </w:p>
    <w:p w14:paraId="48F28CAC"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指引8：形成知行合一的阅读成果</w:t>
      </w:r>
    </w:p>
    <w:p w14:paraId="1C0B8D09"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积极与社会机构合作建立阅读实践基地，结合区域历史文化和风土人情打造阅读实践品牌。联合公共图书馆、博物馆、文化馆、科技馆、爱国主义教育基地和各类研学基地开展“行走阅读”，鼓励师生现场阅读、实地探访，支持青少年学生参与社区服务、科普活动、创新项目、文化调研等，在阅读中修身养志、锻造本领，提升解决问题能力，增强社会责任感和使命感。</w:t>
      </w:r>
    </w:p>
    <w:p w14:paraId="45E5AEA9"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指引9：提升爱读书会读书的阅读素养</w:t>
      </w:r>
    </w:p>
    <w:p w14:paraId="176A5E71"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学生具有较广泛的阅读兴趣和主动阅读习惯，阅读内容多元，有明确的阅读计划。小学生不断扩大阅读面，初中生学会进行深度阅读，高中生能够进行研究性阅读，为终身阅读奠定坚实基础。</w:t>
      </w:r>
    </w:p>
    <w:p w14:paraId="66B5E5BF" w14:textId="77777777" w:rsidR="00176EB1" w:rsidRDefault="00A43F5B" w:rsidP="00EA1AC5">
      <w:pPr>
        <w:spacing w:after="0" w:line="540" w:lineRule="exact"/>
        <w:ind w:firstLineChars="200" w:firstLine="600"/>
        <w:rPr>
          <w:rFonts w:ascii="仿宋" w:eastAsia="仿宋" w:hAnsi="仿宋" w:cs="仿宋"/>
          <w:sz w:val="30"/>
          <w:szCs w:val="30"/>
        </w:rPr>
      </w:pPr>
      <w:r>
        <w:rPr>
          <w:rFonts w:ascii="仿宋" w:eastAsia="仿宋" w:hAnsi="仿宋" w:cs="仿宋" w:hint="eastAsia"/>
          <w:sz w:val="30"/>
          <w:szCs w:val="30"/>
        </w:rPr>
        <w:t>重视通过阅读实践培养学生的理解分析、信息提取、审美鉴赏、评价反思、语言运用等能力。鼓励青少年学生阅读后进行深度思考，以抄录金句、文学创作、戏剧表演、演示实验、发明创</w:t>
      </w:r>
      <w:r>
        <w:rPr>
          <w:rFonts w:ascii="仿宋" w:eastAsia="仿宋" w:hAnsi="仿宋" w:cs="仿宋" w:hint="eastAsia"/>
          <w:sz w:val="30"/>
          <w:szCs w:val="30"/>
        </w:rPr>
        <w:lastRenderedPageBreak/>
        <w:t>造等多种方式展示思考成果，在书香浸润中提升思想境界、增强思维能力、树立远大志向。</w:t>
      </w:r>
    </w:p>
    <w:p w14:paraId="6B3BC247" w14:textId="77777777" w:rsidR="00176EB1" w:rsidRDefault="00A43F5B" w:rsidP="00EA1AC5">
      <w:pPr>
        <w:spacing w:after="0" w:line="540" w:lineRule="exact"/>
        <w:ind w:firstLineChars="200" w:firstLine="600"/>
        <w:rPr>
          <w:rFonts w:ascii="黑体" w:eastAsia="黑体" w:hAnsi="黑体" w:cs="仿宋"/>
          <w:sz w:val="30"/>
          <w:szCs w:val="30"/>
        </w:rPr>
      </w:pPr>
      <w:r>
        <w:rPr>
          <w:rFonts w:ascii="黑体" w:eastAsia="黑体" w:hAnsi="黑体" w:cs="仿宋" w:hint="eastAsia"/>
          <w:sz w:val="30"/>
          <w:szCs w:val="30"/>
        </w:rPr>
        <w:t>指引10：做强坚实高效的阅读保障</w:t>
      </w:r>
    </w:p>
    <w:p w14:paraId="6E98FB3A" w14:textId="77777777" w:rsidR="00176EB1" w:rsidRDefault="00A43F5B" w:rsidP="00EA1AC5">
      <w:pPr>
        <w:spacing w:after="0" w:line="540" w:lineRule="exact"/>
        <w:ind w:firstLineChars="200" w:firstLine="600"/>
        <w:rPr>
          <w:rFonts w:ascii="仿宋" w:eastAsia="仿宋" w:hAnsi="仿宋"/>
          <w:b/>
          <w:bCs/>
          <w:sz w:val="32"/>
          <w:szCs w:val="32"/>
        </w:rPr>
      </w:pPr>
      <w:r>
        <w:rPr>
          <w:rFonts w:ascii="仿宋" w:eastAsia="仿宋" w:hAnsi="仿宋" w:cs="仿宋" w:hint="eastAsia"/>
          <w:sz w:val="30"/>
          <w:szCs w:val="30"/>
        </w:rPr>
        <w:t>建立健全“书香校园”建设工作体制机制，学校党政齐抓共管，促进教务、教研、学科、年级、图书馆、师训、技术支持以及经费保障等部门协调联动，构建包括书香校园建设规划、常态化推进师生阅读、定期搭建展示交流与表扬激励等阅读保障机制。</w:t>
      </w:r>
    </w:p>
    <w:p w14:paraId="7DEACD63" w14:textId="77777777" w:rsidR="00176EB1" w:rsidRDefault="00176EB1">
      <w:pPr>
        <w:spacing w:line="540" w:lineRule="exact"/>
        <w:ind w:firstLineChars="200" w:firstLine="600"/>
        <w:rPr>
          <w:rFonts w:ascii="仿宋" w:eastAsia="仿宋" w:hAnsi="仿宋" w:cs="仿宋"/>
          <w:sz w:val="30"/>
          <w:szCs w:val="30"/>
        </w:rPr>
      </w:pPr>
    </w:p>
    <w:p w14:paraId="33D64FC5" w14:textId="77777777" w:rsidR="00176EB1" w:rsidRDefault="00176EB1">
      <w:pPr>
        <w:widowControl/>
        <w:spacing w:line="540" w:lineRule="exact"/>
        <w:ind w:firstLineChars="200" w:firstLine="640"/>
        <w:jc w:val="left"/>
        <w:rPr>
          <w:rFonts w:ascii="黑体" w:eastAsia="黑体" w:hAnsi="黑体" w:cs="黑体"/>
          <w:sz w:val="32"/>
          <w:szCs w:val="32"/>
        </w:rPr>
      </w:pPr>
    </w:p>
    <w:p w14:paraId="3FBEF555" w14:textId="77777777" w:rsidR="00176EB1" w:rsidRDefault="00176EB1">
      <w:pPr>
        <w:widowControl/>
        <w:spacing w:line="540" w:lineRule="exact"/>
        <w:jc w:val="left"/>
        <w:rPr>
          <w:rFonts w:ascii="黑体" w:eastAsia="黑体" w:hAnsi="黑体" w:cs="黑体"/>
          <w:sz w:val="32"/>
          <w:szCs w:val="32"/>
        </w:rPr>
      </w:pPr>
    </w:p>
    <w:p w14:paraId="6276F796" w14:textId="4397C49E" w:rsidR="00D9286B" w:rsidRDefault="00D9286B">
      <w:pPr>
        <w:widowControl/>
        <w:jc w:val="left"/>
        <w:rPr>
          <w:rFonts w:ascii="黑体" w:eastAsia="黑体" w:hAnsi="黑体" w:cs="黑体" w:hint="eastAsia"/>
          <w:sz w:val="32"/>
          <w:szCs w:val="32"/>
        </w:rPr>
      </w:pPr>
    </w:p>
    <w:sectPr w:rsidR="00D9286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5761" w14:textId="77777777" w:rsidR="00B21B89" w:rsidRDefault="00B21B89">
      <w:pPr>
        <w:spacing w:line="240" w:lineRule="auto"/>
      </w:pPr>
      <w:r>
        <w:separator/>
      </w:r>
    </w:p>
  </w:endnote>
  <w:endnote w:type="continuationSeparator" w:id="0">
    <w:p w14:paraId="6090CF61" w14:textId="77777777" w:rsidR="00B21B89" w:rsidRDefault="00B21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42F1" w14:textId="77777777" w:rsidR="00176EB1" w:rsidRDefault="00A43F5B">
    <w:pPr>
      <w:pStyle w:val="a5"/>
    </w:pPr>
    <w:r>
      <w:rPr>
        <w:noProof/>
      </w:rPr>
      <mc:AlternateContent>
        <mc:Choice Requires="wps">
          <w:drawing>
            <wp:anchor distT="0" distB="0" distL="114300" distR="114300" simplePos="0" relativeHeight="251659264" behindDoc="0" locked="0" layoutInCell="1" allowOverlap="1" wp14:anchorId="42912977" wp14:editId="55F09A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6D1CB4" w14:textId="77777777" w:rsidR="00176EB1" w:rsidRDefault="00A43F5B">
                          <w:pPr>
                            <w:pStyle w:val="a5"/>
                          </w:pPr>
                          <w:r>
                            <w:fldChar w:fldCharType="begin"/>
                          </w:r>
                          <w:r>
                            <w:instrText xml:space="preserve"> PAGE  \* MERGEFORMAT </w:instrText>
                          </w:r>
                          <w:r>
                            <w:fldChar w:fldCharType="separate"/>
                          </w:r>
                          <w:r w:rsidR="00C50B8E">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91297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0A6D1CB4" w14:textId="77777777" w:rsidR="00176EB1" w:rsidRDefault="00A43F5B">
                    <w:pPr>
                      <w:pStyle w:val="a5"/>
                    </w:pPr>
                    <w:r>
                      <w:fldChar w:fldCharType="begin"/>
                    </w:r>
                    <w:r>
                      <w:instrText xml:space="preserve"> PAGE  \* MERGEFORMAT </w:instrText>
                    </w:r>
                    <w:r>
                      <w:fldChar w:fldCharType="separate"/>
                    </w:r>
                    <w:r w:rsidR="00C50B8E">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BB833" w14:textId="77777777" w:rsidR="00B21B89" w:rsidRDefault="00B21B89">
      <w:pPr>
        <w:spacing w:line="240" w:lineRule="auto"/>
      </w:pPr>
      <w:r>
        <w:separator/>
      </w:r>
    </w:p>
  </w:footnote>
  <w:footnote w:type="continuationSeparator" w:id="0">
    <w:p w14:paraId="2FFED945" w14:textId="77777777" w:rsidR="00B21B89" w:rsidRDefault="00B21B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CE116"/>
    <w:multiLevelType w:val="singleLevel"/>
    <w:tmpl w:val="27BCE116"/>
    <w:lvl w:ilvl="0">
      <w:start w:val="1"/>
      <w:numFmt w:val="chineseCounting"/>
      <w:suff w:val="nothing"/>
      <w:lvlText w:val="（%1）"/>
      <w:lvlJc w:val="left"/>
      <w:rPr>
        <w:rFonts w:hint="eastAsia"/>
        <w:b/>
        <w:bCs/>
      </w:rPr>
    </w:lvl>
  </w:abstractNum>
  <w:abstractNum w:abstractNumId="1">
    <w:nsid w:val="3D75775D"/>
    <w:multiLevelType w:val="singleLevel"/>
    <w:tmpl w:val="3D75775D"/>
    <w:lvl w:ilvl="0">
      <w:start w:val="2"/>
      <w:numFmt w:val="decimal"/>
      <w:lvlText w:val="%1."/>
      <w:lvlJc w:val="left"/>
      <w:pPr>
        <w:tabs>
          <w:tab w:val="left" w:pos="312"/>
        </w:tabs>
      </w:pPr>
    </w:lvl>
  </w:abstractNum>
  <w:abstractNum w:abstractNumId="2">
    <w:nsid w:val="48EDFF4B"/>
    <w:multiLevelType w:val="singleLevel"/>
    <w:tmpl w:val="48EDFF4B"/>
    <w:lvl w:ilvl="0">
      <w:start w:val="1"/>
      <w:numFmt w:val="chineseCounting"/>
      <w:suff w:val="nothing"/>
      <w:lvlText w:val="%1、"/>
      <w:lvlJc w:val="left"/>
      <w:pPr>
        <w:ind w:left="7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NWFiZmYzYzdhYjZjNzdiYTcxODQ3NjYzNTEyNDgifQ=="/>
  </w:docVars>
  <w:rsids>
    <w:rsidRoot w:val="00774D77"/>
    <w:rsid w:val="9F7DF28E"/>
    <w:rsid w:val="A77F3A45"/>
    <w:rsid w:val="AC3FAB72"/>
    <w:rsid w:val="B7B86083"/>
    <w:rsid w:val="BAFFAECE"/>
    <w:rsid w:val="BBFD7A69"/>
    <w:rsid w:val="BDDF71A7"/>
    <w:rsid w:val="BFBF8157"/>
    <w:rsid w:val="BFE08F64"/>
    <w:rsid w:val="BFE7BEF1"/>
    <w:rsid w:val="BFFFFF07"/>
    <w:rsid w:val="C4A7539E"/>
    <w:rsid w:val="C77E4974"/>
    <w:rsid w:val="DFEDFC61"/>
    <w:rsid w:val="E25D49AA"/>
    <w:rsid w:val="E5BF0D72"/>
    <w:rsid w:val="E9B22FD8"/>
    <w:rsid w:val="E9F9D4CF"/>
    <w:rsid w:val="E9FF876E"/>
    <w:rsid w:val="EEFBABBA"/>
    <w:rsid w:val="EF3AEA44"/>
    <w:rsid w:val="EFF5CEA9"/>
    <w:rsid w:val="EFFB8B91"/>
    <w:rsid w:val="F2DF4462"/>
    <w:rsid w:val="F6F447B6"/>
    <w:rsid w:val="F8BE8621"/>
    <w:rsid w:val="FAEFACE2"/>
    <w:rsid w:val="FB67EB72"/>
    <w:rsid w:val="FB6F24DC"/>
    <w:rsid w:val="FBE74A8E"/>
    <w:rsid w:val="FC3F11BB"/>
    <w:rsid w:val="FD3BA361"/>
    <w:rsid w:val="FDFD5B23"/>
    <w:rsid w:val="FEFC774A"/>
    <w:rsid w:val="FF775E0C"/>
    <w:rsid w:val="FF7FB9C2"/>
    <w:rsid w:val="FFB1A8D7"/>
    <w:rsid w:val="FFEB792F"/>
    <w:rsid w:val="FFEF1C52"/>
    <w:rsid w:val="000533DF"/>
    <w:rsid w:val="000D37D0"/>
    <w:rsid w:val="00103127"/>
    <w:rsid w:val="00150FFD"/>
    <w:rsid w:val="001514DC"/>
    <w:rsid w:val="001556C2"/>
    <w:rsid w:val="001564C0"/>
    <w:rsid w:val="00176EB1"/>
    <w:rsid w:val="001B2AD4"/>
    <w:rsid w:val="001C2396"/>
    <w:rsid w:val="00242AE9"/>
    <w:rsid w:val="00265D72"/>
    <w:rsid w:val="003329C3"/>
    <w:rsid w:val="00345FE9"/>
    <w:rsid w:val="00354611"/>
    <w:rsid w:val="003B641D"/>
    <w:rsid w:val="003C187F"/>
    <w:rsid w:val="003C3B06"/>
    <w:rsid w:val="004602AE"/>
    <w:rsid w:val="0048081C"/>
    <w:rsid w:val="004B3A56"/>
    <w:rsid w:val="004E0750"/>
    <w:rsid w:val="004E6225"/>
    <w:rsid w:val="004E7F6A"/>
    <w:rsid w:val="004F0116"/>
    <w:rsid w:val="00512C5D"/>
    <w:rsid w:val="00522F36"/>
    <w:rsid w:val="00530697"/>
    <w:rsid w:val="005406D4"/>
    <w:rsid w:val="00545E9A"/>
    <w:rsid w:val="005A65C1"/>
    <w:rsid w:val="005B5AEE"/>
    <w:rsid w:val="005E3CCA"/>
    <w:rsid w:val="00630AFE"/>
    <w:rsid w:val="00694409"/>
    <w:rsid w:val="006A53B8"/>
    <w:rsid w:val="006D3E8F"/>
    <w:rsid w:val="006D4ABB"/>
    <w:rsid w:val="007019FC"/>
    <w:rsid w:val="00774D77"/>
    <w:rsid w:val="00783E92"/>
    <w:rsid w:val="007A7176"/>
    <w:rsid w:val="007C0E31"/>
    <w:rsid w:val="007E2FB5"/>
    <w:rsid w:val="008D15C3"/>
    <w:rsid w:val="008D27D1"/>
    <w:rsid w:val="008F71ED"/>
    <w:rsid w:val="00904D25"/>
    <w:rsid w:val="00960AB2"/>
    <w:rsid w:val="00972D26"/>
    <w:rsid w:val="00986FC9"/>
    <w:rsid w:val="009E0A12"/>
    <w:rsid w:val="00A27623"/>
    <w:rsid w:val="00A345AD"/>
    <w:rsid w:val="00A43F5B"/>
    <w:rsid w:val="00A879E8"/>
    <w:rsid w:val="00B03E4B"/>
    <w:rsid w:val="00B21B89"/>
    <w:rsid w:val="00B31123"/>
    <w:rsid w:val="00BF35E0"/>
    <w:rsid w:val="00C04B58"/>
    <w:rsid w:val="00C50B8E"/>
    <w:rsid w:val="00CD44BC"/>
    <w:rsid w:val="00CF78F4"/>
    <w:rsid w:val="00D629C6"/>
    <w:rsid w:val="00D854C8"/>
    <w:rsid w:val="00D9286B"/>
    <w:rsid w:val="00E00845"/>
    <w:rsid w:val="00E07759"/>
    <w:rsid w:val="00E4436B"/>
    <w:rsid w:val="00E5415D"/>
    <w:rsid w:val="00E81BEB"/>
    <w:rsid w:val="00EA1AC5"/>
    <w:rsid w:val="00EC208D"/>
    <w:rsid w:val="00EE77D4"/>
    <w:rsid w:val="00F877BD"/>
    <w:rsid w:val="00FB1823"/>
    <w:rsid w:val="00FC6A07"/>
    <w:rsid w:val="00FD1D6C"/>
    <w:rsid w:val="00FE17D9"/>
    <w:rsid w:val="00FF7AF1"/>
    <w:rsid w:val="020F7B7E"/>
    <w:rsid w:val="02A05901"/>
    <w:rsid w:val="03041002"/>
    <w:rsid w:val="033E071B"/>
    <w:rsid w:val="039F1570"/>
    <w:rsid w:val="041759F4"/>
    <w:rsid w:val="048A091B"/>
    <w:rsid w:val="04C17A77"/>
    <w:rsid w:val="05981B8E"/>
    <w:rsid w:val="06935222"/>
    <w:rsid w:val="06FC1585"/>
    <w:rsid w:val="076C2B3D"/>
    <w:rsid w:val="07C136C9"/>
    <w:rsid w:val="09A86264"/>
    <w:rsid w:val="0A0501E5"/>
    <w:rsid w:val="0B164B3F"/>
    <w:rsid w:val="0B4A62F0"/>
    <w:rsid w:val="0B6A39D8"/>
    <w:rsid w:val="0CF11ED6"/>
    <w:rsid w:val="0D682962"/>
    <w:rsid w:val="0D7A2C98"/>
    <w:rsid w:val="0D970709"/>
    <w:rsid w:val="0DB742A8"/>
    <w:rsid w:val="0DD856BF"/>
    <w:rsid w:val="0E92627C"/>
    <w:rsid w:val="10546E77"/>
    <w:rsid w:val="12040D82"/>
    <w:rsid w:val="13F37300"/>
    <w:rsid w:val="1452128F"/>
    <w:rsid w:val="150F6ED2"/>
    <w:rsid w:val="1523522E"/>
    <w:rsid w:val="159430E7"/>
    <w:rsid w:val="16FE76D0"/>
    <w:rsid w:val="177550E7"/>
    <w:rsid w:val="19797718"/>
    <w:rsid w:val="1A945F1F"/>
    <w:rsid w:val="1AA913D3"/>
    <w:rsid w:val="1B15391B"/>
    <w:rsid w:val="1C4052BF"/>
    <w:rsid w:val="1CBA0A75"/>
    <w:rsid w:val="1DDA3931"/>
    <w:rsid w:val="1F4D1FBA"/>
    <w:rsid w:val="20F657BD"/>
    <w:rsid w:val="214E5B76"/>
    <w:rsid w:val="22850F57"/>
    <w:rsid w:val="22FB7F7F"/>
    <w:rsid w:val="23B359BE"/>
    <w:rsid w:val="23BD5EF1"/>
    <w:rsid w:val="24003A9F"/>
    <w:rsid w:val="254259F1"/>
    <w:rsid w:val="25AE28A0"/>
    <w:rsid w:val="25D02FFD"/>
    <w:rsid w:val="25D326E0"/>
    <w:rsid w:val="26C5313C"/>
    <w:rsid w:val="270345F0"/>
    <w:rsid w:val="27A209C9"/>
    <w:rsid w:val="27FA0805"/>
    <w:rsid w:val="28241B29"/>
    <w:rsid w:val="298C2A24"/>
    <w:rsid w:val="29EE7250"/>
    <w:rsid w:val="2A04617D"/>
    <w:rsid w:val="2A6F1198"/>
    <w:rsid w:val="2AE55CEB"/>
    <w:rsid w:val="2AFC4894"/>
    <w:rsid w:val="2BF666F2"/>
    <w:rsid w:val="2D0E2F2D"/>
    <w:rsid w:val="2D937732"/>
    <w:rsid w:val="2F0001B4"/>
    <w:rsid w:val="2FB15C4D"/>
    <w:rsid w:val="30C419B0"/>
    <w:rsid w:val="31D708F5"/>
    <w:rsid w:val="32AC1C5A"/>
    <w:rsid w:val="32BD0DAD"/>
    <w:rsid w:val="33FB5ABC"/>
    <w:rsid w:val="34AA6761"/>
    <w:rsid w:val="34F673A3"/>
    <w:rsid w:val="3569702C"/>
    <w:rsid w:val="35C104AB"/>
    <w:rsid w:val="36173006"/>
    <w:rsid w:val="396E349C"/>
    <w:rsid w:val="3978732C"/>
    <w:rsid w:val="39A607ED"/>
    <w:rsid w:val="39F20AEA"/>
    <w:rsid w:val="39FC31BB"/>
    <w:rsid w:val="3A426D18"/>
    <w:rsid w:val="3AF37A62"/>
    <w:rsid w:val="3BB5293F"/>
    <w:rsid w:val="3BDE7224"/>
    <w:rsid w:val="3C460065"/>
    <w:rsid w:val="3C9708C1"/>
    <w:rsid w:val="3D2E2210"/>
    <w:rsid w:val="3D8C7B73"/>
    <w:rsid w:val="3D9B4FF8"/>
    <w:rsid w:val="3E4507FF"/>
    <w:rsid w:val="3E6608B3"/>
    <w:rsid w:val="3E6E0B6F"/>
    <w:rsid w:val="3E7FEFC7"/>
    <w:rsid w:val="3E940B72"/>
    <w:rsid w:val="3F1D3BFD"/>
    <w:rsid w:val="3FAE85F8"/>
    <w:rsid w:val="41067DC3"/>
    <w:rsid w:val="422A14B9"/>
    <w:rsid w:val="42650D34"/>
    <w:rsid w:val="44D22496"/>
    <w:rsid w:val="46613085"/>
    <w:rsid w:val="46B02CAB"/>
    <w:rsid w:val="46F74436"/>
    <w:rsid w:val="47493E3E"/>
    <w:rsid w:val="48460A7F"/>
    <w:rsid w:val="494E0559"/>
    <w:rsid w:val="4AB53273"/>
    <w:rsid w:val="4B4B11F4"/>
    <w:rsid w:val="4C8F5A16"/>
    <w:rsid w:val="4C93259A"/>
    <w:rsid w:val="4CBD0E9F"/>
    <w:rsid w:val="4CFCCB50"/>
    <w:rsid w:val="4DF56515"/>
    <w:rsid w:val="4EA742B3"/>
    <w:rsid w:val="4FFF22D0"/>
    <w:rsid w:val="51320F0E"/>
    <w:rsid w:val="528A41A6"/>
    <w:rsid w:val="52E361B6"/>
    <w:rsid w:val="549B0781"/>
    <w:rsid w:val="54A86D6F"/>
    <w:rsid w:val="556C1A3A"/>
    <w:rsid w:val="55BA67AD"/>
    <w:rsid w:val="572F6246"/>
    <w:rsid w:val="579D9D9C"/>
    <w:rsid w:val="57AF2B0B"/>
    <w:rsid w:val="57D68925"/>
    <w:rsid w:val="57E31282"/>
    <w:rsid w:val="580D0CE6"/>
    <w:rsid w:val="58FE2252"/>
    <w:rsid w:val="595E20F3"/>
    <w:rsid w:val="5AA17312"/>
    <w:rsid w:val="5AB2230B"/>
    <w:rsid w:val="5ACE3FD9"/>
    <w:rsid w:val="5AD044A1"/>
    <w:rsid w:val="5E436ED9"/>
    <w:rsid w:val="5E480A27"/>
    <w:rsid w:val="5F136F8B"/>
    <w:rsid w:val="5F283545"/>
    <w:rsid w:val="5F7302A8"/>
    <w:rsid w:val="5FC508B6"/>
    <w:rsid w:val="608A7C71"/>
    <w:rsid w:val="61942741"/>
    <w:rsid w:val="62E21FE6"/>
    <w:rsid w:val="62E83CB3"/>
    <w:rsid w:val="62FE3A2B"/>
    <w:rsid w:val="640920D6"/>
    <w:rsid w:val="64EE3B8F"/>
    <w:rsid w:val="6559648D"/>
    <w:rsid w:val="66EF1BEE"/>
    <w:rsid w:val="6962E105"/>
    <w:rsid w:val="6A372C18"/>
    <w:rsid w:val="6C274588"/>
    <w:rsid w:val="6C40777C"/>
    <w:rsid w:val="6C635F46"/>
    <w:rsid w:val="6CE93F71"/>
    <w:rsid w:val="6DFDD84A"/>
    <w:rsid w:val="6E725864"/>
    <w:rsid w:val="6F0355B2"/>
    <w:rsid w:val="705C7055"/>
    <w:rsid w:val="705E0ECA"/>
    <w:rsid w:val="70745B0B"/>
    <w:rsid w:val="70970A55"/>
    <w:rsid w:val="711B771F"/>
    <w:rsid w:val="725F6E11"/>
    <w:rsid w:val="72C94629"/>
    <w:rsid w:val="74825EEA"/>
    <w:rsid w:val="749F7D37"/>
    <w:rsid w:val="7561323F"/>
    <w:rsid w:val="76472743"/>
    <w:rsid w:val="774D6046"/>
    <w:rsid w:val="776B2327"/>
    <w:rsid w:val="77F35760"/>
    <w:rsid w:val="78D12489"/>
    <w:rsid w:val="78F4660E"/>
    <w:rsid w:val="799656BB"/>
    <w:rsid w:val="79D47716"/>
    <w:rsid w:val="7A6F8B16"/>
    <w:rsid w:val="7B2965AD"/>
    <w:rsid w:val="7B3F1F34"/>
    <w:rsid w:val="7B42141C"/>
    <w:rsid w:val="7BAB284E"/>
    <w:rsid w:val="7C945F76"/>
    <w:rsid w:val="7CE8640F"/>
    <w:rsid w:val="7DBF4B58"/>
    <w:rsid w:val="7DD62F81"/>
    <w:rsid w:val="7DEB21D5"/>
    <w:rsid w:val="7E047390"/>
    <w:rsid w:val="7EEF7B1D"/>
    <w:rsid w:val="7FAFF168"/>
    <w:rsid w:val="7FEFD2C1"/>
    <w:rsid w:val="7FFDDCCF"/>
    <w:rsid w:val="972B79F0"/>
    <w:rsid w:val="97FC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B8457"/>
  <w15:docId w15:val="{7276C2D6-0A33-416E-AE4C-E065FB39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szCs w:val="22"/>
    </w:rPr>
  </w:style>
  <w:style w:type="paragraph" w:styleId="a4">
    <w:name w:val="Body Text"/>
    <w:basedOn w:val="a"/>
    <w:semiHidden/>
    <w:qFormat/>
    <w:rPr>
      <w:rFonts w:ascii="微软雅黑" w:eastAsia="微软雅黑" w:hAnsi="微软雅黑" w:cs="微软雅黑"/>
      <w:sz w:val="29"/>
      <w:szCs w:val="29"/>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paragraph" w:customStyle="1" w:styleId="1">
    <w:name w:val="修订1"/>
    <w:uiPriority w:val="99"/>
    <w:unhideWhenUsed/>
    <w:qFormat/>
    <w:rPr>
      <w:rFonts w:ascii="Calibri" w:hAnsi="Calibri"/>
      <w:kern w:val="2"/>
      <w:sz w:val="21"/>
      <w:szCs w:val="24"/>
    </w:rPr>
  </w:style>
  <w:style w:type="paragraph" w:customStyle="1" w:styleId="2">
    <w:name w:val="修订2"/>
    <w:uiPriority w:val="99"/>
    <w:unhideWhenUsed/>
    <w:qFormat/>
    <w:rPr>
      <w:rFonts w:ascii="Calibri" w:hAnsi="Calibri"/>
      <w:kern w:val="2"/>
      <w:sz w:val="21"/>
      <w:szCs w:val="24"/>
    </w:rPr>
  </w:style>
  <w:style w:type="character" w:customStyle="1" w:styleId="Char">
    <w:name w:val="页眉 Char"/>
    <w:basedOn w:val="a0"/>
    <w:link w:val="a6"/>
    <w:uiPriority w:val="99"/>
    <w:rsid w:val="00150FFD"/>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28248</dc:creator>
  <cp:lastModifiedBy>user</cp:lastModifiedBy>
  <cp:revision>3</cp:revision>
  <cp:lastPrinted>2025-11-28T04:33:00Z</cp:lastPrinted>
  <dcterms:created xsi:type="dcterms:W3CDTF">2026-01-05T00:27:00Z</dcterms:created>
  <dcterms:modified xsi:type="dcterms:W3CDTF">2026-01-05T00:29:00Z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F7AD8AD70EF6422D9F4734EF620BEA3D_13</vt:lpwstr>
  </property>
  <property fmtid="{D5CDD505-2E9C-101B-9397-08002B2CF9AE}" pid="4" name="KSOTemplateDocerSaveRecord">
    <vt:lpwstr>eyJoZGlkIjoiZjgwMjVmYzVhODEwNTlmMjQ0YTZiMjc1N2M1ZWQzMTciLCJ1c2VySWQiOiIxMTUxNzQwODYwIn0=</vt:lpwstr>
  </property>
</Properties>
</file>